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6FCD" w14:textId="77777777" w:rsidR="00B97D08" w:rsidRPr="00D305B8" w:rsidRDefault="00B97D08">
      <w:pPr>
        <w:rPr>
          <w:szCs w:val="24"/>
        </w:rPr>
      </w:pPr>
    </w:p>
    <w:p w14:paraId="4622C40B" w14:textId="77777777" w:rsidR="003A3859" w:rsidRPr="00D305B8" w:rsidRDefault="003A3859" w:rsidP="003A3859">
      <w:pPr>
        <w:pStyle w:val="Vastaanottaja"/>
        <w:rPr>
          <w:szCs w:val="24"/>
        </w:rPr>
      </w:pPr>
      <w:r w:rsidRPr="00D305B8">
        <w:rPr>
          <w:szCs w:val="24"/>
        </w:rPr>
        <w:t>Heta – henkilökohtaisten avustajien työnantajien liitto ry</w:t>
      </w:r>
    </w:p>
    <w:p w14:paraId="3EC7B928" w14:textId="0700E6B8" w:rsidR="003A3859" w:rsidRPr="00D305B8" w:rsidRDefault="00CF2AA7" w:rsidP="003A3859">
      <w:pPr>
        <w:pStyle w:val="Vastaanottaja"/>
        <w:rPr>
          <w:szCs w:val="24"/>
        </w:rPr>
      </w:pPr>
      <w:r>
        <w:rPr>
          <w:szCs w:val="24"/>
        </w:rPr>
        <w:t>Lausunto</w:t>
      </w:r>
      <w:r w:rsidR="003A3859" w:rsidRPr="00D305B8">
        <w:rPr>
          <w:szCs w:val="24"/>
        </w:rPr>
        <w:t xml:space="preserve"> </w:t>
      </w:r>
      <w:r w:rsidR="003A3859" w:rsidRPr="00D305B8">
        <w:rPr>
          <w:szCs w:val="24"/>
        </w:rPr>
        <w:fldChar w:fldCharType="begin"/>
      </w:r>
      <w:r w:rsidR="003A3859" w:rsidRPr="00D305B8">
        <w:rPr>
          <w:szCs w:val="24"/>
        </w:rPr>
        <w:instrText xml:space="preserve"> TIME  \@ "d.M.yyyy" </w:instrText>
      </w:r>
      <w:r w:rsidR="003A3859" w:rsidRPr="00D305B8">
        <w:rPr>
          <w:szCs w:val="24"/>
        </w:rPr>
        <w:fldChar w:fldCharType="separate"/>
      </w:r>
      <w:r w:rsidR="00343C5C">
        <w:rPr>
          <w:noProof/>
          <w:szCs w:val="24"/>
        </w:rPr>
        <w:t>13.4.2026</w:t>
      </w:r>
      <w:r w:rsidR="003A3859" w:rsidRPr="00D305B8">
        <w:rPr>
          <w:szCs w:val="24"/>
        </w:rPr>
        <w:fldChar w:fldCharType="end"/>
      </w:r>
    </w:p>
    <w:p w14:paraId="140DDD69" w14:textId="49B5B89C" w:rsidR="00D305B8" w:rsidRDefault="003A3859" w:rsidP="00497FCD">
      <w:pPr>
        <w:pStyle w:val="Vastaanottaja"/>
        <w:rPr>
          <w:szCs w:val="24"/>
        </w:rPr>
      </w:pPr>
      <w:r w:rsidRPr="00D305B8">
        <w:rPr>
          <w:szCs w:val="24"/>
        </w:rPr>
        <w:t xml:space="preserve">Jakelu: </w:t>
      </w:r>
      <w:r w:rsidR="00CF2AA7">
        <w:rPr>
          <w:szCs w:val="24"/>
        </w:rPr>
        <w:t>STM</w:t>
      </w:r>
    </w:p>
    <w:p w14:paraId="26939279" w14:textId="77777777" w:rsidR="00497FCD" w:rsidRPr="00497FCD" w:rsidRDefault="00497FCD" w:rsidP="00497FCD">
      <w:pPr>
        <w:pStyle w:val="Vastaanottaja"/>
        <w:rPr>
          <w:szCs w:val="24"/>
        </w:rPr>
      </w:pPr>
    </w:p>
    <w:p w14:paraId="241FD891" w14:textId="77777777" w:rsidR="00D305B8" w:rsidRPr="00D305B8" w:rsidRDefault="00D305B8" w:rsidP="00D305B8">
      <w:pPr>
        <w:pStyle w:val="Otsikko1"/>
        <w:rPr>
          <w:rFonts w:eastAsia="Arial"/>
        </w:rPr>
      </w:pPr>
      <w:r w:rsidRPr="00D305B8">
        <w:rPr>
          <w:rFonts w:eastAsia="Arial"/>
        </w:rPr>
        <w:t>Lausuntopyyntö sosiaali- ja terveydenhuollon valvonnasta annetun lain kehittämistarpeiden arviomuistiosta VN/27681/2025</w:t>
      </w:r>
    </w:p>
    <w:p w14:paraId="34365C91" w14:textId="77777777" w:rsidR="00D305B8" w:rsidRPr="00D305B8" w:rsidRDefault="00D305B8" w:rsidP="00D305B8">
      <w:pPr>
        <w:rPr>
          <w:rFonts w:eastAsia="Arial"/>
          <w:color w:val="000000"/>
          <w:szCs w:val="24"/>
        </w:rPr>
      </w:pPr>
    </w:p>
    <w:p w14:paraId="5F2ED82F" w14:textId="21FDB35F" w:rsidR="00D305B8" w:rsidRPr="00D305B8" w:rsidRDefault="00D305B8" w:rsidP="000733A5">
      <w:pPr>
        <w:spacing w:after="200"/>
        <w:rPr>
          <w:rFonts w:eastAsia="Arial"/>
          <w:color w:val="000000"/>
          <w:szCs w:val="24"/>
        </w:rPr>
      </w:pPr>
      <w:r w:rsidRPr="00D305B8">
        <w:rPr>
          <w:rFonts w:eastAsia="Arial"/>
          <w:color w:val="000000"/>
          <w:szCs w:val="24"/>
        </w:rPr>
        <w:t>Sosiaali- ja terveysministeriö pyytää lausuntoa sosiaali- ja terveydenhuollon valvonnasta annetun lain kehittämistarpeiden arviomuistiosta. </w:t>
      </w:r>
      <w:r w:rsidRPr="00D305B8">
        <w:rPr>
          <w:rFonts w:eastAsia="Arial"/>
          <w:color w:val="000000"/>
          <w:szCs w:val="24"/>
        </w:rPr>
        <w:br/>
      </w:r>
    </w:p>
    <w:p w14:paraId="62C2BDAA" w14:textId="7689E794" w:rsidR="00D305B8" w:rsidRPr="000733A5" w:rsidRDefault="00D305B8" w:rsidP="00D305B8">
      <w:pPr>
        <w:spacing w:before="200" w:after="200"/>
        <w:rPr>
          <w:rFonts w:eastAsia="Arial"/>
          <w:b/>
          <w:color w:val="000000"/>
          <w:szCs w:val="24"/>
        </w:rPr>
      </w:pPr>
      <w:r w:rsidRPr="00D305B8">
        <w:rPr>
          <w:rFonts w:eastAsia="Arial"/>
          <w:b/>
          <w:color w:val="000000"/>
          <w:szCs w:val="24"/>
        </w:rPr>
        <w:t>Lausunnonantajan lausunto</w:t>
      </w:r>
    </w:p>
    <w:p w14:paraId="651FAC4F" w14:textId="64284EAE" w:rsidR="00732035" w:rsidRDefault="00D305B8" w:rsidP="00910E52">
      <w:pPr>
        <w:pStyle w:val="Normaalisisennetty"/>
        <w:ind w:left="0"/>
        <w:rPr>
          <w:rFonts w:eastAsia="Arial"/>
        </w:rPr>
      </w:pPr>
      <w:r w:rsidRPr="00D305B8">
        <w:rPr>
          <w:rFonts w:eastAsia="Arial"/>
        </w:rPr>
        <w:t>Kommenttinne arviomuistion luvusta 5 (Valvontalain 1 luku Yleiset säännökset)</w:t>
      </w:r>
    </w:p>
    <w:p w14:paraId="59005FD9" w14:textId="32AF10CF" w:rsidR="00732035" w:rsidRDefault="00F13FFC" w:rsidP="00732035">
      <w:pPr>
        <w:pStyle w:val="Normaalisisennetty"/>
        <w:rPr>
          <w:rFonts w:eastAsia="Arial"/>
        </w:rPr>
      </w:pPr>
      <w:r>
        <w:rPr>
          <w:rFonts w:eastAsia="Arial"/>
        </w:rPr>
        <w:t>Arviomuistiossa todetaan työantajamallin henkilökohtaisesta avusta seuraavasti:</w:t>
      </w:r>
    </w:p>
    <w:p w14:paraId="573A2753" w14:textId="6BA2724D" w:rsidR="00732035" w:rsidRPr="0080496A" w:rsidRDefault="00F13FFC" w:rsidP="000733A5">
      <w:pPr>
        <w:pStyle w:val="Normaalisisennetty"/>
        <w:ind w:left="2608"/>
      </w:pPr>
      <w:r w:rsidRPr="000733A5">
        <w:t>”</w:t>
      </w:r>
      <w:r w:rsidR="00107960" w:rsidRPr="000733A5">
        <w:t xml:space="preserve">Lakia sosiaali- ja terveydenhuollon valvonnasta </w:t>
      </w:r>
      <w:r w:rsidR="00732035" w:rsidRPr="000733A5">
        <w:t xml:space="preserve">ei sovelleta lain 2 §:n 3 momentin mukaan vammaispalvelulain 11 §:ssä tarkoitettuun henkilökohtaisen avun työnantajamallin mukaan toimivaan henkilöön lukuun ottamatta lain 28 §:ää ja 32 §:n 2 momenttia. Kyseisen soveltamisrajauksen </w:t>
      </w:r>
      <w:proofErr w:type="gramStart"/>
      <w:r w:rsidR="00732035" w:rsidRPr="000733A5">
        <w:t>johdosta</w:t>
      </w:r>
      <w:proofErr w:type="gramEnd"/>
      <w:r w:rsidR="00732035" w:rsidRPr="000733A5">
        <w:t xml:space="preserve"> henkilökohtaisen avun työnantajamallilla järjestetyt henkilökohtaisen avun palvelut eivät ole rekisteröitävää toimintaa. Sekä valvontalakia että sen väliaikaista muutosta koskevassa lausuntopalautteessa on eräiden tahojen toimesta tuotu esille, että myös työnantajamallilla järjestetty henkilökohtainen apu tulisi kuulua lain soveltamisalaan. Tätä on perusteltu sekä asiakasturvallisuudella että työntekijän työturvallisuuden näkökul</w:t>
      </w:r>
      <w:r w:rsidR="00732035">
        <w:t>masta.</w:t>
      </w:r>
      <w:r w:rsidR="00107960">
        <w:t xml:space="preserve"> </w:t>
      </w:r>
      <w:r>
        <w:t>”</w:t>
      </w:r>
    </w:p>
    <w:p w14:paraId="1DCADAF3" w14:textId="0E3CC06C" w:rsidR="003241EB" w:rsidRDefault="000C7AB6" w:rsidP="00D2784D">
      <w:pPr>
        <w:pStyle w:val="Normaalisisennetty"/>
        <w:rPr>
          <w:rFonts w:eastAsia="Arial"/>
        </w:rPr>
      </w:pPr>
      <w:r w:rsidRPr="3824D29F">
        <w:rPr>
          <w:rFonts w:eastAsia="Arial"/>
        </w:rPr>
        <w:lastRenderedPageBreak/>
        <w:t xml:space="preserve">Heta-liitto ei kannata henkilökohtaisen avun työnantajamallin saattamista valvontalain piiriin. </w:t>
      </w:r>
      <w:r w:rsidR="009A3E6A" w:rsidRPr="3824D29F">
        <w:rPr>
          <w:rFonts w:eastAsia="Arial"/>
        </w:rPr>
        <w:t>Työnantaja</w:t>
      </w:r>
      <w:r w:rsidR="00332862" w:rsidRPr="3824D29F">
        <w:rPr>
          <w:rFonts w:eastAsia="Arial"/>
        </w:rPr>
        <w:t>mallissa pääsääntöisesti vammainen henkilö itse on sekä palvelun käyttäjä että työnantaja</w:t>
      </w:r>
      <w:r w:rsidR="00066F0F" w:rsidRPr="3824D29F">
        <w:rPr>
          <w:rFonts w:eastAsia="Arial"/>
        </w:rPr>
        <w:t>,</w:t>
      </w:r>
      <w:r w:rsidR="006E1E77" w:rsidRPr="3824D29F">
        <w:rPr>
          <w:rFonts w:eastAsia="Arial"/>
        </w:rPr>
        <w:t xml:space="preserve"> eikä ole mielekästä kohdistaa valvontaa palvelun käyttäjään</w:t>
      </w:r>
      <w:r w:rsidR="00332862" w:rsidRPr="3824D29F">
        <w:rPr>
          <w:rFonts w:eastAsia="Arial"/>
        </w:rPr>
        <w:t xml:space="preserve">. </w:t>
      </w:r>
      <w:r w:rsidR="00D2784D" w:rsidRPr="3824D29F">
        <w:rPr>
          <w:rFonts w:eastAsia="Arial"/>
        </w:rPr>
        <w:t>Työsuojeluviranomainen valvoo työnantajana toimivia henkilöitä</w:t>
      </w:r>
      <w:r w:rsidR="43448A95" w:rsidRPr="3824D29F">
        <w:rPr>
          <w:rFonts w:eastAsia="Arial"/>
        </w:rPr>
        <w:t>,</w:t>
      </w:r>
      <w:r w:rsidR="00A44E01" w:rsidRPr="3824D29F">
        <w:rPr>
          <w:rFonts w:eastAsia="Arial"/>
        </w:rPr>
        <w:t xml:space="preserve"> eli työsuhteiden valvonta tapahtuu tuota kautta</w:t>
      </w:r>
      <w:r w:rsidR="00D2784D" w:rsidRPr="3824D29F">
        <w:rPr>
          <w:rFonts w:eastAsia="Arial"/>
        </w:rPr>
        <w:t>.</w:t>
      </w:r>
      <w:r w:rsidR="00080C38" w:rsidRPr="3824D29F">
        <w:rPr>
          <w:rFonts w:eastAsia="Arial"/>
        </w:rPr>
        <w:t xml:space="preserve"> </w:t>
      </w:r>
      <w:r w:rsidR="2E15BC20" w:rsidRPr="3824D29F">
        <w:rPr>
          <w:rFonts w:eastAsia="Arial"/>
        </w:rPr>
        <w:t>Myös t</w:t>
      </w:r>
      <w:r w:rsidR="00080C38" w:rsidRPr="3824D29F">
        <w:rPr>
          <w:rFonts w:eastAsia="Arial"/>
        </w:rPr>
        <w:t>yöterveyshuolto on työntekijöiden käytettävissä työpaikan mahdollisten epäkohtien selvittämisessä.</w:t>
      </w:r>
      <w:r w:rsidR="00D2784D" w:rsidRPr="3824D29F">
        <w:rPr>
          <w:rFonts w:eastAsia="Arial"/>
        </w:rPr>
        <w:t xml:space="preserve"> Lisäksi Heta-liitto valvoo työ</w:t>
      </w:r>
      <w:r w:rsidR="003241EB" w:rsidRPr="3824D29F">
        <w:rPr>
          <w:rFonts w:eastAsia="Arial"/>
        </w:rPr>
        <w:t>n</w:t>
      </w:r>
      <w:r w:rsidR="00D2784D" w:rsidRPr="3824D29F">
        <w:rPr>
          <w:rFonts w:eastAsia="Arial"/>
        </w:rPr>
        <w:t>antajajärjestönä jäseniään</w:t>
      </w:r>
      <w:r w:rsidR="003241EB" w:rsidRPr="3824D29F">
        <w:rPr>
          <w:rFonts w:eastAsia="Arial"/>
        </w:rPr>
        <w:t xml:space="preserve"> työehtosopimuksen noudattamisessa</w:t>
      </w:r>
      <w:r w:rsidR="00D2784D" w:rsidRPr="3824D29F">
        <w:rPr>
          <w:rFonts w:eastAsia="Arial"/>
        </w:rPr>
        <w:t>.</w:t>
      </w:r>
      <w:r w:rsidR="00E03B66" w:rsidRPr="3824D29F">
        <w:rPr>
          <w:rFonts w:eastAsia="Arial"/>
        </w:rPr>
        <w:t xml:space="preserve"> </w:t>
      </w:r>
    </w:p>
    <w:p w14:paraId="0EC42095" w14:textId="76146C9A" w:rsidR="00C001C0" w:rsidRDefault="003241EB" w:rsidP="00C001C0">
      <w:pPr>
        <w:pStyle w:val="Normaalisisennetty"/>
        <w:rPr>
          <w:rFonts w:eastAsia="Arial"/>
        </w:rPr>
      </w:pPr>
      <w:r>
        <w:rPr>
          <w:rFonts w:eastAsia="Arial"/>
        </w:rPr>
        <w:t>Hyvinvointialue vastaa siitä, että vammaisen henkilön palvelu</w:t>
      </w:r>
      <w:r w:rsidR="002F1498">
        <w:rPr>
          <w:rFonts w:eastAsia="Arial"/>
        </w:rPr>
        <w:t>t</w:t>
      </w:r>
      <w:r>
        <w:rPr>
          <w:rFonts w:eastAsia="Arial"/>
        </w:rPr>
        <w:t xml:space="preserve"> järjestetään</w:t>
      </w:r>
      <w:r w:rsidR="00066F0F">
        <w:rPr>
          <w:rFonts w:eastAsia="Arial"/>
        </w:rPr>
        <w:t xml:space="preserve"> mm.</w:t>
      </w:r>
      <w:r>
        <w:rPr>
          <w:rFonts w:eastAsia="Arial"/>
        </w:rPr>
        <w:t xml:space="preserve"> hänelle sopivalla ja hänen etunsa mukaisella tavalla. </w:t>
      </w:r>
      <w:r w:rsidR="00D2784D">
        <w:rPr>
          <w:rFonts w:eastAsia="Arial"/>
        </w:rPr>
        <w:t xml:space="preserve"> </w:t>
      </w:r>
      <w:r w:rsidR="005F1AE3" w:rsidRPr="005F1AE3">
        <w:rPr>
          <w:rFonts w:eastAsia="Arial"/>
        </w:rPr>
        <w:t>Työnantajamallin käytön edellytyksenä on, että vammainen henkilö kykenee vastaamaan työnantajan velvollisuuksista. Lisäksi edellytyksenä on, että vammainen henkilö antaa asiakassuunnitelmaan kirjattavan suostumuksensa työnantajana toimimiseen</w:t>
      </w:r>
      <w:r w:rsidR="005F1AE3">
        <w:rPr>
          <w:rFonts w:eastAsia="Arial"/>
        </w:rPr>
        <w:t xml:space="preserve"> (VPL 11 </w:t>
      </w:r>
      <w:r w:rsidR="00A133E0">
        <w:rPr>
          <w:rFonts w:eastAsia="Arial"/>
        </w:rPr>
        <w:t>§ 2 mom.)</w:t>
      </w:r>
      <w:r w:rsidR="005F1AE3" w:rsidRPr="005F1AE3">
        <w:rPr>
          <w:rFonts w:eastAsia="Arial"/>
        </w:rPr>
        <w:t>.</w:t>
      </w:r>
      <w:r w:rsidR="00A133E0">
        <w:rPr>
          <w:rFonts w:eastAsia="Arial"/>
        </w:rPr>
        <w:t xml:space="preserve"> On tarkoituksenmukaista, että </w:t>
      </w:r>
      <w:r w:rsidR="00A85E1B">
        <w:rPr>
          <w:rFonts w:eastAsia="Arial"/>
        </w:rPr>
        <w:t xml:space="preserve">työnantajamallin toimivuutta sekä </w:t>
      </w:r>
      <w:r w:rsidR="00A133E0">
        <w:rPr>
          <w:rFonts w:eastAsia="Arial"/>
        </w:rPr>
        <w:t>työnantajana toimimista ja sen edellytyksiä käsitellään osana henkilön tavallista palvelusuunnittelua</w:t>
      </w:r>
      <w:r w:rsidR="000914D4">
        <w:rPr>
          <w:rFonts w:eastAsia="Arial"/>
        </w:rPr>
        <w:t>, jolloin pysty</w:t>
      </w:r>
      <w:r w:rsidR="00066F0F">
        <w:rPr>
          <w:rFonts w:eastAsia="Arial"/>
        </w:rPr>
        <w:t>t</w:t>
      </w:r>
      <w:r w:rsidR="000914D4">
        <w:rPr>
          <w:rFonts w:eastAsia="Arial"/>
        </w:rPr>
        <w:t xml:space="preserve">ään arvioimaan </w:t>
      </w:r>
      <w:r w:rsidR="00066F0F">
        <w:rPr>
          <w:rFonts w:eastAsia="Arial"/>
        </w:rPr>
        <w:t>asiaa</w:t>
      </w:r>
      <w:r w:rsidR="000914D4">
        <w:rPr>
          <w:rFonts w:eastAsia="Arial"/>
        </w:rPr>
        <w:t xml:space="preserve"> henkilön yksilöllisen tilanteen perusteella.</w:t>
      </w:r>
    </w:p>
    <w:p w14:paraId="64C7A039" w14:textId="718FB39C" w:rsidR="00137E48" w:rsidRDefault="004C3F0B" w:rsidP="00C001C0">
      <w:pPr>
        <w:pStyle w:val="Normaalisisennetty"/>
        <w:rPr>
          <w:rFonts w:eastAsia="Arial"/>
        </w:rPr>
      </w:pPr>
      <w:r w:rsidRPr="3824D29F">
        <w:rPr>
          <w:rFonts w:eastAsia="Arial"/>
        </w:rPr>
        <w:t>Valvontalain logiikka ei sovellu työnantajamallin tilanteeseen ja tarpeisiin.</w:t>
      </w:r>
      <w:r w:rsidR="00137E48" w:rsidRPr="3824D29F">
        <w:rPr>
          <w:rFonts w:eastAsia="Arial"/>
        </w:rPr>
        <w:t xml:space="preserve"> On</w:t>
      </w:r>
      <w:r w:rsidR="00D61395" w:rsidRPr="3824D29F">
        <w:rPr>
          <w:rFonts w:eastAsia="Arial"/>
        </w:rPr>
        <w:t xml:space="preserve"> </w:t>
      </w:r>
      <w:r w:rsidR="00137E48" w:rsidRPr="3824D29F">
        <w:rPr>
          <w:rFonts w:eastAsia="Arial"/>
        </w:rPr>
        <w:t xml:space="preserve">epäselvää, mihin asioihin valvonta </w:t>
      </w:r>
      <w:r w:rsidR="00BA1457" w:rsidRPr="3824D29F">
        <w:rPr>
          <w:rFonts w:eastAsia="Arial"/>
        </w:rPr>
        <w:t xml:space="preserve">käytännössä voisi </w:t>
      </w:r>
      <w:r w:rsidR="00137E48" w:rsidRPr="3824D29F">
        <w:rPr>
          <w:rFonts w:eastAsia="Arial"/>
        </w:rPr>
        <w:t>kohdistu</w:t>
      </w:r>
      <w:r w:rsidR="00BA1457" w:rsidRPr="3824D29F">
        <w:rPr>
          <w:rFonts w:eastAsia="Arial"/>
        </w:rPr>
        <w:t xml:space="preserve">a </w:t>
      </w:r>
      <w:r w:rsidR="00E31DCD" w:rsidRPr="3824D29F">
        <w:rPr>
          <w:rFonts w:eastAsia="Arial"/>
        </w:rPr>
        <w:t>ja mitä</w:t>
      </w:r>
      <w:r w:rsidR="00C34A9A" w:rsidRPr="3824D29F">
        <w:rPr>
          <w:rFonts w:eastAsia="Arial"/>
        </w:rPr>
        <w:t xml:space="preserve"> </w:t>
      </w:r>
      <w:r w:rsidR="00066F0F" w:rsidRPr="3824D29F">
        <w:rPr>
          <w:rFonts w:eastAsia="Arial"/>
        </w:rPr>
        <w:t xml:space="preserve">kaikkea </w:t>
      </w:r>
      <w:r w:rsidR="2AAA227C" w:rsidRPr="3824D29F">
        <w:rPr>
          <w:rFonts w:eastAsia="Arial"/>
        </w:rPr>
        <w:t xml:space="preserve">mm. </w:t>
      </w:r>
      <w:r w:rsidR="00E31DCD" w:rsidRPr="3824D29F">
        <w:rPr>
          <w:rFonts w:eastAsia="Arial"/>
        </w:rPr>
        <w:t>asiakasturvallisuude</w:t>
      </w:r>
      <w:r w:rsidR="00A93884" w:rsidRPr="3824D29F">
        <w:rPr>
          <w:rFonts w:eastAsia="Arial"/>
        </w:rPr>
        <w:t>n varmistamisella</w:t>
      </w:r>
      <w:r w:rsidR="00E31DCD" w:rsidRPr="3824D29F">
        <w:rPr>
          <w:rFonts w:eastAsia="Arial"/>
        </w:rPr>
        <w:t xml:space="preserve"> tässä yhteydessä tarkoitettaisiin</w:t>
      </w:r>
      <w:r w:rsidR="00C51C2D" w:rsidRPr="3824D29F">
        <w:rPr>
          <w:rFonts w:eastAsia="Arial"/>
        </w:rPr>
        <w:t>. Henkilökohtaisen avun tarkoituksena on, että vammaisen henkilön itsemääräämisoikeus toteutuu yhdenvertaisesti muiden kanssa niissäkin tilanteissa, joissa hän tarvitsee toisen henkilön apua (VPL 9</w:t>
      </w:r>
      <w:r w:rsidR="00066F0F" w:rsidRPr="3824D29F">
        <w:rPr>
          <w:rFonts w:eastAsia="Arial"/>
        </w:rPr>
        <w:t xml:space="preserve"> </w:t>
      </w:r>
      <w:r w:rsidR="00C51C2D" w:rsidRPr="3824D29F">
        <w:rPr>
          <w:rFonts w:eastAsia="Arial"/>
        </w:rPr>
        <w:t>§ 2 mom</w:t>
      </w:r>
      <w:r w:rsidR="6FB3D351" w:rsidRPr="3824D29F">
        <w:rPr>
          <w:rFonts w:eastAsia="Arial"/>
        </w:rPr>
        <w:t>.</w:t>
      </w:r>
      <w:r w:rsidR="00C51C2D" w:rsidRPr="3824D29F">
        <w:rPr>
          <w:rFonts w:eastAsia="Arial"/>
        </w:rPr>
        <w:t>)</w:t>
      </w:r>
      <w:r w:rsidR="00533B17" w:rsidRPr="3824D29F">
        <w:rPr>
          <w:rFonts w:eastAsia="Arial"/>
        </w:rPr>
        <w:t xml:space="preserve">. Kyse on </w:t>
      </w:r>
      <w:r w:rsidR="00E10022" w:rsidRPr="3824D29F">
        <w:rPr>
          <w:rFonts w:eastAsia="Arial"/>
        </w:rPr>
        <w:t>siitä, minkälaisia valintoja vammainen henkilö voi elämässään tehdä.</w:t>
      </w:r>
      <w:r w:rsidR="00006B77" w:rsidRPr="3824D29F">
        <w:rPr>
          <w:rFonts w:eastAsia="Arial"/>
        </w:rPr>
        <w:t xml:space="preserve"> </w:t>
      </w:r>
    </w:p>
    <w:p w14:paraId="2D18C68E" w14:textId="18500912" w:rsidR="007440AD" w:rsidRDefault="00784E5E" w:rsidP="00C001C0">
      <w:pPr>
        <w:pStyle w:val="Normaalisisennetty"/>
        <w:rPr>
          <w:rFonts w:eastAsia="Arial"/>
        </w:rPr>
      </w:pPr>
      <w:r w:rsidRPr="3824D29F">
        <w:rPr>
          <w:rFonts w:eastAsia="Arial"/>
        </w:rPr>
        <w:t xml:space="preserve">Mikäli valvontalaki laajennettaisiin koskemaan työnantajamallin henkilökohtaista apua, </w:t>
      </w:r>
      <w:r w:rsidR="006B4FA0" w:rsidRPr="3824D29F">
        <w:rPr>
          <w:rFonts w:eastAsia="Arial"/>
        </w:rPr>
        <w:t xml:space="preserve">palvelussa olisi velvollisuus toteuttaa </w:t>
      </w:r>
      <w:r w:rsidR="009F45C7" w:rsidRPr="3824D29F">
        <w:rPr>
          <w:rFonts w:eastAsia="Arial"/>
        </w:rPr>
        <w:t xml:space="preserve">mm. </w:t>
      </w:r>
      <w:r w:rsidR="006B4FA0" w:rsidRPr="3824D29F">
        <w:rPr>
          <w:rFonts w:eastAsia="Arial"/>
        </w:rPr>
        <w:t>omavalvontaa</w:t>
      </w:r>
      <w:r w:rsidR="009F45C7" w:rsidRPr="3824D29F">
        <w:rPr>
          <w:rFonts w:eastAsia="Arial"/>
        </w:rPr>
        <w:t>, eikä tämä ole alalla mielekästä.</w:t>
      </w:r>
      <w:r w:rsidR="005F245D" w:rsidRPr="3824D29F">
        <w:rPr>
          <w:rFonts w:eastAsia="Arial"/>
        </w:rPr>
        <w:t xml:space="preserve"> </w:t>
      </w:r>
      <w:r w:rsidR="00526CCA" w:rsidRPr="3824D29F">
        <w:rPr>
          <w:rFonts w:eastAsia="Arial"/>
        </w:rPr>
        <w:t>E</w:t>
      </w:r>
      <w:r w:rsidR="005F245D" w:rsidRPr="3824D29F">
        <w:rPr>
          <w:rFonts w:eastAsia="Arial"/>
        </w:rPr>
        <w:t xml:space="preserve">sim. </w:t>
      </w:r>
      <w:r w:rsidR="00526CCA" w:rsidRPr="3824D29F">
        <w:rPr>
          <w:rFonts w:eastAsia="Arial"/>
        </w:rPr>
        <w:t xml:space="preserve">valvontaviranomaisen </w:t>
      </w:r>
      <w:r w:rsidR="005F245D" w:rsidRPr="3824D29F">
        <w:rPr>
          <w:rFonts w:eastAsia="Arial"/>
        </w:rPr>
        <w:t xml:space="preserve">tarkastusoikeus sekä </w:t>
      </w:r>
      <w:r w:rsidR="00073070" w:rsidRPr="3824D29F">
        <w:rPr>
          <w:rFonts w:eastAsia="Arial"/>
        </w:rPr>
        <w:t>pakkokeinojen</w:t>
      </w:r>
      <w:r w:rsidR="53390877" w:rsidRPr="3824D29F">
        <w:rPr>
          <w:rFonts w:eastAsia="Arial"/>
        </w:rPr>
        <w:t>,</w:t>
      </w:r>
      <w:r w:rsidR="00073070" w:rsidRPr="3824D29F">
        <w:rPr>
          <w:rFonts w:eastAsia="Arial"/>
        </w:rPr>
        <w:t xml:space="preserve"> kuten uhkasakon</w:t>
      </w:r>
      <w:r w:rsidR="0C0E4A7A" w:rsidRPr="3824D29F">
        <w:rPr>
          <w:rFonts w:eastAsia="Arial"/>
        </w:rPr>
        <w:t>,</w:t>
      </w:r>
      <w:r w:rsidR="00073070" w:rsidRPr="3824D29F">
        <w:rPr>
          <w:rFonts w:eastAsia="Arial"/>
        </w:rPr>
        <w:t xml:space="preserve"> käyttö eivät </w:t>
      </w:r>
      <w:r w:rsidR="00FA3D5B" w:rsidRPr="3824D29F">
        <w:rPr>
          <w:rFonts w:eastAsia="Arial"/>
        </w:rPr>
        <w:t>sopisi henkilökohtaisen avun työnantajamalliin ja näi</w:t>
      </w:r>
      <w:r w:rsidR="0058420D" w:rsidRPr="3824D29F">
        <w:rPr>
          <w:rFonts w:eastAsia="Arial"/>
        </w:rPr>
        <w:t>den käyttöön</w:t>
      </w:r>
      <w:r w:rsidR="00FA3D5B" w:rsidRPr="3824D29F">
        <w:rPr>
          <w:rFonts w:eastAsia="Arial"/>
        </w:rPr>
        <w:t xml:space="preserve"> sisältyisi </w:t>
      </w:r>
      <w:r w:rsidR="00922DC4" w:rsidRPr="3824D29F">
        <w:rPr>
          <w:rFonts w:eastAsia="Arial"/>
        </w:rPr>
        <w:t>perus- ja</w:t>
      </w:r>
      <w:r w:rsidR="00FA3D5B" w:rsidRPr="3824D29F">
        <w:rPr>
          <w:rFonts w:eastAsia="Arial"/>
        </w:rPr>
        <w:t xml:space="preserve"> ihmisoikeudellisesti ongelmallisia kysymyksiä.</w:t>
      </w:r>
      <w:r w:rsidR="00EC7F36" w:rsidRPr="3824D29F">
        <w:rPr>
          <w:rFonts w:eastAsia="Arial"/>
        </w:rPr>
        <w:t xml:space="preserve"> </w:t>
      </w:r>
      <w:r w:rsidR="00D60236" w:rsidRPr="3824D29F">
        <w:rPr>
          <w:rFonts w:eastAsia="Arial"/>
        </w:rPr>
        <w:lastRenderedPageBreak/>
        <w:t>Valvontalain laajentaminen työ</w:t>
      </w:r>
      <w:r w:rsidR="0058420D" w:rsidRPr="3824D29F">
        <w:rPr>
          <w:rFonts w:eastAsia="Arial"/>
        </w:rPr>
        <w:t>n</w:t>
      </w:r>
      <w:r w:rsidR="00D60236" w:rsidRPr="3824D29F">
        <w:rPr>
          <w:rFonts w:eastAsia="Arial"/>
        </w:rPr>
        <w:t xml:space="preserve">antajamalliin lisäisi </w:t>
      </w:r>
      <w:r w:rsidR="000914D4" w:rsidRPr="3824D29F">
        <w:rPr>
          <w:rFonts w:eastAsia="Arial"/>
        </w:rPr>
        <w:t xml:space="preserve">myös </w:t>
      </w:r>
      <w:r w:rsidR="00D60236" w:rsidRPr="3824D29F">
        <w:rPr>
          <w:rFonts w:eastAsia="Arial"/>
        </w:rPr>
        <w:t>vammais</w:t>
      </w:r>
      <w:r w:rsidR="005A2517" w:rsidRPr="3824D29F">
        <w:rPr>
          <w:rFonts w:eastAsia="Arial"/>
        </w:rPr>
        <w:t xml:space="preserve">ten henkilöiden </w:t>
      </w:r>
      <w:r w:rsidR="0058420D" w:rsidRPr="3824D29F">
        <w:rPr>
          <w:rFonts w:eastAsia="Arial"/>
        </w:rPr>
        <w:t xml:space="preserve">hallinnollista </w:t>
      </w:r>
      <w:r w:rsidR="005A2517" w:rsidRPr="3824D29F">
        <w:rPr>
          <w:rFonts w:eastAsia="Arial"/>
        </w:rPr>
        <w:t>taakkaa</w:t>
      </w:r>
      <w:r w:rsidR="000914D4" w:rsidRPr="3824D29F">
        <w:rPr>
          <w:rFonts w:eastAsia="Arial"/>
        </w:rPr>
        <w:t>, sillä myös tämä sääntely tulisi ottaa huomioon</w:t>
      </w:r>
      <w:r w:rsidR="00653EC4" w:rsidRPr="3824D29F">
        <w:rPr>
          <w:rFonts w:eastAsia="Arial"/>
        </w:rPr>
        <w:t xml:space="preserve">. </w:t>
      </w:r>
    </w:p>
    <w:p w14:paraId="033F9E0D" w14:textId="23D05443" w:rsidR="005820E6" w:rsidRDefault="004C4FA7" w:rsidP="00B574EA">
      <w:pPr>
        <w:pStyle w:val="Normaalisisennetty"/>
        <w:rPr>
          <w:rFonts w:eastAsia="Arial"/>
        </w:rPr>
      </w:pPr>
      <w:r w:rsidRPr="3824D29F">
        <w:rPr>
          <w:rFonts w:eastAsia="Arial"/>
        </w:rPr>
        <w:t xml:space="preserve">Valvontalain soveltamisalanrajaus koskee vain henkilökohtaisen avun työnantajamallin mukaan toimivaa henkilöä. </w:t>
      </w:r>
      <w:r w:rsidR="00A133E0" w:rsidRPr="3824D29F">
        <w:rPr>
          <w:rFonts w:eastAsia="Arial"/>
        </w:rPr>
        <w:t xml:space="preserve">Lupa- ja valvontaviraston valvonta voi nykyiselläänkin kohdistua siihen, kuinka hyvinvointialueet </w:t>
      </w:r>
      <w:r w:rsidR="00B14B42" w:rsidRPr="3824D29F">
        <w:rPr>
          <w:rFonts w:eastAsia="Arial"/>
        </w:rPr>
        <w:t>järjestävät työnantajamallin henkilökohtaista apua</w:t>
      </w:r>
      <w:r w:rsidRPr="3824D29F">
        <w:rPr>
          <w:rFonts w:eastAsia="Arial"/>
        </w:rPr>
        <w:t>.</w:t>
      </w:r>
      <w:r w:rsidR="00304B10" w:rsidRPr="3824D29F">
        <w:rPr>
          <w:rFonts w:eastAsia="Arial"/>
        </w:rPr>
        <w:t xml:space="preserve"> </w:t>
      </w:r>
      <w:r w:rsidR="00B14B42" w:rsidRPr="3824D29F">
        <w:rPr>
          <w:rFonts w:eastAsia="Arial"/>
        </w:rPr>
        <w:t>Valvonta voi koskea esim</w:t>
      </w:r>
      <w:r w:rsidRPr="3824D29F">
        <w:rPr>
          <w:rFonts w:eastAsia="Arial"/>
        </w:rPr>
        <w:t>.</w:t>
      </w:r>
      <w:r w:rsidR="00B14B42" w:rsidRPr="3824D29F">
        <w:rPr>
          <w:rFonts w:eastAsia="Arial"/>
        </w:rPr>
        <w:t xml:space="preserve"> sitä, onko </w:t>
      </w:r>
      <w:r w:rsidR="0011020B" w:rsidRPr="3824D29F">
        <w:rPr>
          <w:rFonts w:eastAsia="Arial"/>
        </w:rPr>
        <w:t>alue järjestänyt muita henkilökohtaisen avun toteuttamistapoja siten, että henkilöllä on tosiasiallinen mahdollisuus</w:t>
      </w:r>
      <w:r w:rsidR="002F1498" w:rsidRPr="3824D29F">
        <w:rPr>
          <w:rFonts w:eastAsia="Arial"/>
        </w:rPr>
        <w:t xml:space="preserve"> saada henkilökohtai</w:t>
      </w:r>
      <w:r w:rsidR="0058420D" w:rsidRPr="3824D29F">
        <w:rPr>
          <w:rFonts w:eastAsia="Arial"/>
        </w:rPr>
        <w:t>sta</w:t>
      </w:r>
      <w:r w:rsidR="002F1498" w:rsidRPr="3824D29F">
        <w:rPr>
          <w:rFonts w:eastAsia="Arial"/>
        </w:rPr>
        <w:t xml:space="preserve"> apu</w:t>
      </w:r>
      <w:r w:rsidR="0058420D" w:rsidRPr="3824D29F">
        <w:rPr>
          <w:rFonts w:eastAsia="Arial"/>
        </w:rPr>
        <w:t>a</w:t>
      </w:r>
      <w:r w:rsidR="002F1498" w:rsidRPr="3824D29F">
        <w:rPr>
          <w:rFonts w:eastAsia="Arial"/>
        </w:rPr>
        <w:t xml:space="preserve"> hänelle soveltuvalla tavalla. </w:t>
      </w:r>
      <w:r w:rsidR="005820E6" w:rsidRPr="3824D29F">
        <w:rPr>
          <w:rFonts w:eastAsia="Arial"/>
        </w:rPr>
        <w:t xml:space="preserve">Mahdollista on myös </w:t>
      </w:r>
      <w:r w:rsidR="00A95D7D" w:rsidRPr="3824D29F">
        <w:rPr>
          <w:rFonts w:eastAsia="Arial"/>
        </w:rPr>
        <w:t xml:space="preserve">yleisellä tasolla </w:t>
      </w:r>
      <w:r w:rsidR="005820E6" w:rsidRPr="3824D29F">
        <w:rPr>
          <w:rFonts w:eastAsia="Arial"/>
        </w:rPr>
        <w:t xml:space="preserve">valvoa </w:t>
      </w:r>
      <w:r w:rsidR="00A95D7D" w:rsidRPr="3824D29F">
        <w:rPr>
          <w:rFonts w:eastAsia="Arial"/>
        </w:rPr>
        <w:t xml:space="preserve">esim. </w:t>
      </w:r>
      <w:r w:rsidR="005820E6" w:rsidRPr="3824D29F">
        <w:rPr>
          <w:rFonts w:eastAsia="Arial"/>
        </w:rPr>
        <w:t>sitä, että hyvinvointialueilla työnantajamallin käyttö on rajattu vammaispalvelulain tarkoittamalla tavalla</w:t>
      </w:r>
      <w:r w:rsidR="0058420D" w:rsidRPr="3824D29F">
        <w:rPr>
          <w:rFonts w:eastAsia="Arial"/>
        </w:rPr>
        <w:t xml:space="preserve"> siten, että työ</w:t>
      </w:r>
      <w:r w:rsidR="005E4784" w:rsidRPr="3824D29F">
        <w:rPr>
          <w:rFonts w:eastAsia="Arial"/>
        </w:rPr>
        <w:t>n</w:t>
      </w:r>
      <w:r w:rsidR="0058420D" w:rsidRPr="3824D29F">
        <w:rPr>
          <w:rFonts w:eastAsia="Arial"/>
        </w:rPr>
        <w:t>antajana toimivalla on kyky</w:t>
      </w:r>
      <w:r w:rsidR="00A95D7D" w:rsidRPr="3824D29F">
        <w:rPr>
          <w:rFonts w:eastAsia="Arial"/>
        </w:rPr>
        <w:t xml:space="preserve"> ja suostumus toimia työnantajana</w:t>
      </w:r>
      <w:r w:rsidR="005820E6" w:rsidRPr="3824D29F">
        <w:rPr>
          <w:rFonts w:eastAsia="Arial"/>
        </w:rPr>
        <w:t xml:space="preserve">. </w:t>
      </w:r>
      <w:r w:rsidR="00370F26" w:rsidRPr="3824D29F">
        <w:rPr>
          <w:rFonts w:eastAsia="Arial"/>
        </w:rPr>
        <w:t>Nämä ovat keskeis</w:t>
      </w:r>
      <w:r w:rsidR="005E4784" w:rsidRPr="3824D29F">
        <w:rPr>
          <w:rFonts w:eastAsia="Arial"/>
        </w:rPr>
        <w:t>impiä</w:t>
      </w:r>
      <w:r w:rsidR="00370F26" w:rsidRPr="3824D29F">
        <w:rPr>
          <w:rFonts w:eastAsia="Arial"/>
        </w:rPr>
        <w:t xml:space="preserve"> keinoja asiakasturvallisuuden kannalt</w:t>
      </w:r>
      <w:r w:rsidR="005E4784" w:rsidRPr="3824D29F">
        <w:rPr>
          <w:rFonts w:eastAsia="Arial"/>
        </w:rPr>
        <w:t xml:space="preserve">a. </w:t>
      </w:r>
    </w:p>
    <w:p w14:paraId="430E90DE" w14:textId="1A160004" w:rsidR="00A133E0" w:rsidRDefault="00DD15E8" w:rsidP="00A95D7D">
      <w:pPr>
        <w:pStyle w:val="Normaalisisennetty"/>
        <w:rPr>
          <w:rFonts w:eastAsia="Arial"/>
        </w:rPr>
      </w:pPr>
      <w:r>
        <w:rPr>
          <w:rFonts w:eastAsia="Arial"/>
        </w:rPr>
        <w:t>Vammaispalvelui</w:t>
      </w:r>
      <w:r w:rsidR="0058420D">
        <w:rPr>
          <w:rFonts w:eastAsia="Arial"/>
        </w:rPr>
        <w:t xml:space="preserve">den valvonnassa </w:t>
      </w:r>
      <w:r>
        <w:rPr>
          <w:rFonts w:eastAsia="Arial"/>
        </w:rPr>
        <w:t>keskeistä on hyvinvointialueiden toimien asianmukaisuuden ja laillisuuden varmistami</w:t>
      </w:r>
      <w:r w:rsidR="0058420D">
        <w:rPr>
          <w:rFonts w:eastAsia="Arial"/>
        </w:rPr>
        <w:t>n</w:t>
      </w:r>
      <w:r>
        <w:rPr>
          <w:rFonts w:eastAsia="Arial"/>
        </w:rPr>
        <w:t xml:space="preserve">en. </w:t>
      </w:r>
      <w:r w:rsidR="00A95D7D">
        <w:rPr>
          <w:rFonts w:eastAsia="Arial"/>
        </w:rPr>
        <w:t xml:space="preserve">Tarkoituksenmukaista ei ole kohdentaa valvontaresursseja palveluja käyttävän asiakkaan valvontaan. </w:t>
      </w:r>
      <w:r w:rsidR="003D0357">
        <w:rPr>
          <w:rFonts w:eastAsia="Arial"/>
        </w:rPr>
        <w:t xml:space="preserve">Jos työnantajamalli otettaisiin valvontalain piiriin, on periaatteessa mahdollista, että </w:t>
      </w:r>
      <w:r w:rsidR="007554C4">
        <w:rPr>
          <w:rFonts w:eastAsia="Arial"/>
        </w:rPr>
        <w:t xml:space="preserve">alalta tulevat yhteydenotot suhteellisen pienistä tai ainakin pientä henkilöjoukkoa koskettavista kysymyksistä kuormittaisivat Lupa- ja valvontavirastoa. Tämä puolestaan haittaisi valvontaresurssien mielekästä kohdentamista.  </w:t>
      </w:r>
    </w:p>
    <w:p w14:paraId="50F960C5" w14:textId="73016801" w:rsidR="0018687F" w:rsidRDefault="00B53FDB" w:rsidP="00BF4009">
      <w:pPr>
        <w:pStyle w:val="Normaalisisennetty"/>
        <w:rPr>
          <w:rFonts w:eastAsia="Arial"/>
        </w:rPr>
      </w:pPr>
      <w:r>
        <w:rPr>
          <w:rFonts w:eastAsia="Arial"/>
        </w:rPr>
        <w:t>Muista soveltamisalaan liittyvistä kysymyksistä Heta-liitto toteaa, että on tarpeen ulottaa valvontalaki koskemaan myös sosiaalihuoltolain 14 §</w:t>
      </w:r>
      <w:r w:rsidR="00946655">
        <w:rPr>
          <w:rFonts w:eastAsia="Arial"/>
        </w:rPr>
        <w:t xml:space="preserve"> 2 momentin nojalla järjestettyjä sosiaalipalveluita. </w:t>
      </w:r>
      <w:r w:rsidR="00663DEC" w:rsidRPr="00663DEC">
        <w:rPr>
          <w:rFonts w:eastAsia="Arial"/>
        </w:rPr>
        <w:t xml:space="preserve">Hyvinvointialue voi </w:t>
      </w:r>
      <w:r w:rsidR="00A53340">
        <w:rPr>
          <w:rFonts w:eastAsia="Arial"/>
        </w:rPr>
        <w:t xml:space="preserve">säännöksen mukaan </w:t>
      </w:r>
      <w:r w:rsidR="00663DEC" w:rsidRPr="00663DEC">
        <w:rPr>
          <w:rFonts w:eastAsia="Arial"/>
        </w:rPr>
        <w:t>järjestää muita kuin 1 momentissa tarkoitettuja 11 §:n mukaisiin tarpeisiin vastaavia sosiaalipalveluja.</w:t>
      </w:r>
      <w:r w:rsidR="0018687F">
        <w:rPr>
          <w:rFonts w:eastAsia="Arial"/>
        </w:rPr>
        <w:t xml:space="preserve"> Kyse on siis muista kuin laissa säädetyistä palveluista. </w:t>
      </w:r>
      <w:r w:rsidR="00BF4009">
        <w:rPr>
          <w:rFonts w:eastAsia="Arial"/>
        </w:rPr>
        <w:t>Myös vammaispalvelulain mukaan h</w:t>
      </w:r>
      <w:r w:rsidR="0018687F" w:rsidRPr="0018687F">
        <w:rPr>
          <w:rFonts w:eastAsia="Arial"/>
        </w:rPr>
        <w:t xml:space="preserve">yvinvointialue voi järjestää </w:t>
      </w:r>
      <w:r w:rsidR="0018687F">
        <w:rPr>
          <w:rFonts w:eastAsia="Arial"/>
        </w:rPr>
        <w:t>vammaispalvelu</w:t>
      </w:r>
      <w:r w:rsidR="0018687F" w:rsidRPr="0018687F">
        <w:rPr>
          <w:rFonts w:eastAsia="Arial"/>
        </w:rPr>
        <w:t>lain perusteella myös muita lain tarkoituksen toteuttamiseksi tarvittavia palveluita ja taloudellisia tukitoimia</w:t>
      </w:r>
      <w:r w:rsidR="00A90ECC">
        <w:rPr>
          <w:rFonts w:eastAsia="Arial"/>
        </w:rPr>
        <w:t xml:space="preserve"> (</w:t>
      </w:r>
      <w:r w:rsidR="00843F26">
        <w:rPr>
          <w:rFonts w:eastAsia="Arial"/>
        </w:rPr>
        <w:t xml:space="preserve">VPL </w:t>
      </w:r>
      <w:r w:rsidR="00A90ECC">
        <w:rPr>
          <w:rFonts w:eastAsia="Arial"/>
        </w:rPr>
        <w:t>34 §)</w:t>
      </w:r>
      <w:r w:rsidR="0018687F" w:rsidRPr="0018687F">
        <w:rPr>
          <w:rFonts w:eastAsia="Arial"/>
        </w:rPr>
        <w:t>.</w:t>
      </w:r>
      <w:r w:rsidR="00A90ECC">
        <w:rPr>
          <w:rFonts w:eastAsia="Arial"/>
        </w:rPr>
        <w:t xml:space="preserve"> </w:t>
      </w:r>
      <w:r w:rsidR="008C4540">
        <w:rPr>
          <w:rFonts w:eastAsia="Arial"/>
        </w:rPr>
        <w:t xml:space="preserve">Soveltamisala viittaa siihen, että nämä </w:t>
      </w:r>
      <w:r w:rsidR="009908F8">
        <w:rPr>
          <w:rFonts w:eastAsia="Arial"/>
        </w:rPr>
        <w:t xml:space="preserve">vammaispalvelulain nojalla järjestetyt </w:t>
      </w:r>
      <w:r w:rsidR="008C4540">
        <w:rPr>
          <w:rFonts w:eastAsia="Arial"/>
        </w:rPr>
        <w:t>palvelut olisivat</w:t>
      </w:r>
      <w:r w:rsidR="00F06812">
        <w:rPr>
          <w:rFonts w:eastAsia="Arial"/>
        </w:rPr>
        <w:t xml:space="preserve"> nyt</w:t>
      </w:r>
      <w:r w:rsidR="00C477E5">
        <w:rPr>
          <w:rFonts w:eastAsia="Arial"/>
        </w:rPr>
        <w:t xml:space="preserve"> valvontalain</w:t>
      </w:r>
      <w:r w:rsidR="00957D23">
        <w:rPr>
          <w:rFonts w:eastAsia="Arial"/>
        </w:rPr>
        <w:t xml:space="preserve"> </w:t>
      </w:r>
      <w:r w:rsidR="00C477E5">
        <w:rPr>
          <w:rFonts w:eastAsia="Arial"/>
        </w:rPr>
        <w:t xml:space="preserve">piirissä. </w:t>
      </w:r>
      <w:r w:rsidR="00894A08">
        <w:rPr>
          <w:rFonts w:eastAsia="Arial"/>
        </w:rPr>
        <w:t>Olisi johdonmukaista, että palveluita kohdellaan tässä suhteessa samalla tavalla.</w:t>
      </w:r>
    </w:p>
    <w:p w14:paraId="4712CB15" w14:textId="42829202" w:rsidR="00B55820" w:rsidRPr="00497FCD" w:rsidRDefault="00910E52" w:rsidP="00910E52">
      <w:pPr>
        <w:pStyle w:val="Normaalisisennetty"/>
        <w:ind w:left="0"/>
        <w:rPr>
          <w:rFonts w:eastAsia="Arial"/>
        </w:rPr>
      </w:pPr>
      <w:r>
        <w:rPr>
          <w:rFonts w:eastAsia="Arial"/>
        </w:rPr>
        <w:tab/>
      </w:r>
      <w:r w:rsidR="00BD372B">
        <w:t xml:space="preserve">Heta-liitto ei lausu lausuntopyynnön muista kohdista. </w:t>
      </w:r>
    </w:p>
    <w:sectPr w:rsidR="00B55820" w:rsidRPr="00497FCD">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F13F" w14:textId="77777777" w:rsidR="00496D60" w:rsidRDefault="00496D60" w:rsidP="00B55820">
      <w:pPr>
        <w:spacing w:after="0" w:line="240" w:lineRule="auto"/>
      </w:pPr>
      <w:r>
        <w:separator/>
      </w:r>
    </w:p>
  </w:endnote>
  <w:endnote w:type="continuationSeparator" w:id="0">
    <w:p w14:paraId="24CE020B" w14:textId="77777777" w:rsidR="00496D60" w:rsidRDefault="00496D60" w:rsidP="00B5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69AA" w14:textId="77777777" w:rsidR="00496D60" w:rsidRDefault="00496D60" w:rsidP="00B55820">
      <w:pPr>
        <w:spacing w:after="0" w:line="240" w:lineRule="auto"/>
      </w:pPr>
      <w:r>
        <w:separator/>
      </w:r>
    </w:p>
  </w:footnote>
  <w:footnote w:type="continuationSeparator" w:id="0">
    <w:p w14:paraId="5C9BCB5B" w14:textId="77777777" w:rsidR="00496D60" w:rsidRDefault="00496D60" w:rsidP="00B5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188A" w14:textId="77777777" w:rsidR="00B55820" w:rsidRDefault="00B55820">
    <w:pPr>
      <w:pStyle w:val="Yltunniste"/>
    </w:pPr>
    <w:r>
      <w:rPr>
        <w:noProof/>
        <w:lang w:eastAsia="fi-FI"/>
      </w:rPr>
      <w:drawing>
        <wp:inline distT="0" distB="0" distL="0" distR="0" wp14:anchorId="03F2AFB0" wp14:editId="104A9D33">
          <wp:extent cx="2520461" cy="586740"/>
          <wp:effectExtent l="0" t="0" r="0" b="3810"/>
          <wp:docPr id="1" name="Kuva 1" descr="Heta-li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Heta-liiton logo"/>
                  <pic:cNvPicPr>
                    <a:picLocks noChangeAspect="1" noChangeArrowheads="1"/>
                  </pic:cNvPicPr>
                </pic:nvPicPr>
                <pic:blipFill>
                  <a:blip r:embed="rId1"/>
                  <a:stretch>
                    <a:fillRect/>
                  </a:stretch>
                </pic:blipFill>
                <pic:spPr bwMode="auto">
                  <a:xfrm>
                    <a:off x="0" y="0"/>
                    <a:ext cx="2520461"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40A3"/>
    <w:multiLevelType w:val="hybridMultilevel"/>
    <w:tmpl w:val="44C6BD54"/>
    <w:lvl w:ilvl="0" w:tplc="F66A034E">
      <w:start w:val="1"/>
      <w:numFmt w:val="bullet"/>
      <w:pStyle w:val="Luettelokappale"/>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2173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B8"/>
    <w:rsid w:val="00006B77"/>
    <w:rsid w:val="00066F0F"/>
    <w:rsid w:val="00073070"/>
    <w:rsid w:val="000733A5"/>
    <w:rsid w:val="00080C38"/>
    <w:rsid w:val="000914D4"/>
    <w:rsid w:val="000B318D"/>
    <w:rsid w:val="000C7AB6"/>
    <w:rsid w:val="000E1E3E"/>
    <w:rsid w:val="00107960"/>
    <w:rsid w:val="0011020B"/>
    <w:rsid w:val="0011764E"/>
    <w:rsid w:val="00135220"/>
    <w:rsid w:val="00137E48"/>
    <w:rsid w:val="0018687F"/>
    <w:rsid w:val="00242DE4"/>
    <w:rsid w:val="00283AE3"/>
    <w:rsid w:val="002F1498"/>
    <w:rsid w:val="00304B10"/>
    <w:rsid w:val="003241EB"/>
    <w:rsid w:val="00332862"/>
    <w:rsid w:val="00343C5C"/>
    <w:rsid w:val="00370F26"/>
    <w:rsid w:val="003A3859"/>
    <w:rsid w:val="003D0357"/>
    <w:rsid w:val="003E231E"/>
    <w:rsid w:val="00413091"/>
    <w:rsid w:val="00496D60"/>
    <w:rsid w:val="00497FCD"/>
    <w:rsid w:val="004C3F0B"/>
    <w:rsid w:val="004C4FA7"/>
    <w:rsid w:val="004F3C73"/>
    <w:rsid w:val="00526CCA"/>
    <w:rsid w:val="00533B17"/>
    <w:rsid w:val="005820E6"/>
    <w:rsid w:val="0058420D"/>
    <w:rsid w:val="005A2517"/>
    <w:rsid w:val="005E4784"/>
    <w:rsid w:val="005F1AE3"/>
    <w:rsid w:val="005F245D"/>
    <w:rsid w:val="00631232"/>
    <w:rsid w:val="00653EC4"/>
    <w:rsid w:val="00663DEC"/>
    <w:rsid w:val="00664F7E"/>
    <w:rsid w:val="00674C00"/>
    <w:rsid w:val="006B2C71"/>
    <w:rsid w:val="006B4FA0"/>
    <w:rsid w:val="006B6482"/>
    <w:rsid w:val="006C7B88"/>
    <w:rsid w:val="006D4F30"/>
    <w:rsid w:val="006D6E65"/>
    <w:rsid w:val="006E1E77"/>
    <w:rsid w:val="00732035"/>
    <w:rsid w:val="007440AD"/>
    <w:rsid w:val="007554C4"/>
    <w:rsid w:val="00784E5E"/>
    <w:rsid w:val="0080496A"/>
    <w:rsid w:val="00843F26"/>
    <w:rsid w:val="008617DE"/>
    <w:rsid w:val="008741C3"/>
    <w:rsid w:val="00894A08"/>
    <w:rsid w:val="008C4540"/>
    <w:rsid w:val="00906677"/>
    <w:rsid w:val="009109F4"/>
    <w:rsid w:val="00910E52"/>
    <w:rsid w:val="00922DC4"/>
    <w:rsid w:val="00946655"/>
    <w:rsid w:val="00957D23"/>
    <w:rsid w:val="00960382"/>
    <w:rsid w:val="009908F8"/>
    <w:rsid w:val="009A3E6A"/>
    <w:rsid w:val="009F45C7"/>
    <w:rsid w:val="00A133E0"/>
    <w:rsid w:val="00A44E01"/>
    <w:rsid w:val="00A53340"/>
    <w:rsid w:val="00A63FD3"/>
    <w:rsid w:val="00A85E1B"/>
    <w:rsid w:val="00A90ECC"/>
    <w:rsid w:val="00A93884"/>
    <w:rsid w:val="00A95D7D"/>
    <w:rsid w:val="00A97547"/>
    <w:rsid w:val="00AF728E"/>
    <w:rsid w:val="00B14B42"/>
    <w:rsid w:val="00B53FDB"/>
    <w:rsid w:val="00B55820"/>
    <w:rsid w:val="00B574EA"/>
    <w:rsid w:val="00B755B2"/>
    <w:rsid w:val="00B97D08"/>
    <w:rsid w:val="00BA1457"/>
    <w:rsid w:val="00BD372B"/>
    <w:rsid w:val="00BF4009"/>
    <w:rsid w:val="00C001C0"/>
    <w:rsid w:val="00C34A9A"/>
    <w:rsid w:val="00C43A68"/>
    <w:rsid w:val="00C477E5"/>
    <w:rsid w:val="00C51C2D"/>
    <w:rsid w:val="00C57185"/>
    <w:rsid w:val="00CB0EDB"/>
    <w:rsid w:val="00CB3AAA"/>
    <w:rsid w:val="00CF2AA7"/>
    <w:rsid w:val="00D23027"/>
    <w:rsid w:val="00D2784D"/>
    <w:rsid w:val="00D305B8"/>
    <w:rsid w:val="00D60236"/>
    <w:rsid w:val="00D61395"/>
    <w:rsid w:val="00D942A0"/>
    <w:rsid w:val="00DA4C9B"/>
    <w:rsid w:val="00DC58D4"/>
    <w:rsid w:val="00DD15E8"/>
    <w:rsid w:val="00DE09D9"/>
    <w:rsid w:val="00E03B66"/>
    <w:rsid w:val="00E10022"/>
    <w:rsid w:val="00E13F6A"/>
    <w:rsid w:val="00E31DCD"/>
    <w:rsid w:val="00E77641"/>
    <w:rsid w:val="00EA3101"/>
    <w:rsid w:val="00EA4F95"/>
    <w:rsid w:val="00EC7F36"/>
    <w:rsid w:val="00EE67EA"/>
    <w:rsid w:val="00F06812"/>
    <w:rsid w:val="00F13FFC"/>
    <w:rsid w:val="00F2072B"/>
    <w:rsid w:val="00F46035"/>
    <w:rsid w:val="00FA3D5B"/>
    <w:rsid w:val="00FB177D"/>
    <w:rsid w:val="00FD3159"/>
    <w:rsid w:val="00FD78EB"/>
    <w:rsid w:val="0B104287"/>
    <w:rsid w:val="0C0E4A7A"/>
    <w:rsid w:val="102867CF"/>
    <w:rsid w:val="2AAA227C"/>
    <w:rsid w:val="2E15BC20"/>
    <w:rsid w:val="3824D29F"/>
    <w:rsid w:val="43448A95"/>
    <w:rsid w:val="49DF9844"/>
    <w:rsid w:val="4FD71E22"/>
    <w:rsid w:val="53390877"/>
    <w:rsid w:val="54E52575"/>
    <w:rsid w:val="6FB3D351"/>
    <w:rsid w:val="7252D11A"/>
    <w:rsid w:val="77858CC5"/>
    <w:rsid w:val="79C7DCB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1C781"/>
  <w15:chartTrackingRefBased/>
  <w15:docId w15:val="{48519ACC-CF6F-48F9-A271-09AD5167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next w:val="Eivli"/>
    <w:qFormat/>
    <w:rsid w:val="003A3859"/>
    <w:pPr>
      <w:tabs>
        <w:tab w:val="left" w:pos="1304"/>
        <w:tab w:val="left" w:pos="2608"/>
        <w:tab w:val="left" w:pos="3912"/>
        <w:tab w:val="left" w:pos="5216"/>
        <w:tab w:val="left" w:pos="6521"/>
        <w:tab w:val="left" w:pos="7825"/>
        <w:tab w:val="left" w:pos="9129"/>
      </w:tabs>
      <w:spacing w:after="120" w:line="360" w:lineRule="auto"/>
    </w:pPr>
    <w:rPr>
      <w:rFonts w:eastAsiaTheme="minorEastAsia" w:cstheme="minorHAnsi"/>
      <w:sz w:val="24"/>
      <w:szCs w:val="20"/>
      <w:lang w:eastAsia="ja-JP"/>
    </w:rPr>
  </w:style>
  <w:style w:type="paragraph" w:styleId="Otsikko1">
    <w:name w:val="heading 1"/>
    <w:basedOn w:val="Normaali"/>
    <w:next w:val="Normaali"/>
    <w:link w:val="Otsikko1Char"/>
    <w:uiPriority w:val="9"/>
    <w:qFormat/>
    <w:rsid w:val="003A3859"/>
    <w:pPr>
      <w:keepNext/>
      <w:keepLines/>
      <w:spacing w:before="360"/>
      <w:outlineLvl w:val="0"/>
    </w:pPr>
    <w:rPr>
      <w:rFonts w:eastAsiaTheme="majorEastAsia" w:cstheme="majorBidi"/>
      <w:b/>
      <w:bCs/>
      <w:color w:val="000000" w:themeColor="text1"/>
      <w:sz w:val="36"/>
      <w:szCs w:val="32"/>
    </w:rPr>
  </w:style>
  <w:style w:type="paragraph" w:styleId="Otsikko2">
    <w:name w:val="heading 2"/>
    <w:basedOn w:val="Normaali"/>
    <w:next w:val="Normaali"/>
    <w:link w:val="Otsikko2Char"/>
    <w:uiPriority w:val="9"/>
    <w:unhideWhenUsed/>
    <w:qFormat/>
    <w:rsid w:val="003A3859"/>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Otsikko3">
    <w:name w:val="heading 3"/>
    <w:basedOn w:val="Normaali"/>
    <w:link w:val="Otsikko3Char"/>
    <w:uiPriority w:val="9"/>
    <w:qFormat/>
    <w:rsid w:val="003A3859"/>
    <w:pPr>
      <w:spacing w:before="120" w:after="0"/>
      <w:outlineLvl w:val="2"/>
    </w:pPr>
    <w:rPr>
      <w:rFonts w:asciiTheme="majorHAnsi" w:hAnsiTheme="majorHAnsi"/>
      <w:b/>
      <w:bCs/>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558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5820"/>
  </w:style>
  <w:style w:type="paragraph" w:styleId="Alatunniste">
    <w:name w:val="footer"/>
    <w:basedOn w:val="Normaali"/>
    <w:link w:val="AlatunnisteChar"/>
    <w:uiPriority w:val="99"/>
    <w:unhideWhenUsed/>
    <w:rsid w:val="00B558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5820"/>
  </w:style>
  <w:style w:type="character" w:customStyle="1" w:styleId="Otsikko1Char">
    <w:name w:val="Otsikko 1 Char"/>
    <w:basedOn w:val="Kappaleenoletusfontti"/>
    <w:link w:val="Otsikko1"/>
    <w:uiPriority w:val="9"/>
    <w:rsid w:val="003A3859"/>
    <w:rPr>
      <w:rFonts w:eastAsiaTheme="majorEastAsia" w:cstheme="majorBidi"/>
      <w:b/>
      <w:bCs/>
      <w:color w:val="000000" w:themeColor="text1"/>
      <w:sz w:val="36"/>
      <w:szCs w:val="32"/>
      <w:lang w:eastAsia="ja-JP"/>
    </w:rPr>
  </w:style>
  <w:style w:type="character" w:customStyle="1" w:styleId="Otsikko2Char">
    <w:name w:val="Otsikko 2 Char"/>
    <w:basedOn w:val="Kappaleenoletusfontti"/>
    <w:link w:val="Otsikko2"/>
    <w:uiPriority w:val="9"/>
    <w:rsid w:val="003A3859"/>
    <w:rPr>
      <w:rFonts w:asciiTheme="majorHAnsi" w:eastAsiaTheme="majorEastAsia" w:hAnsiTheme="majorHAnsi" w:cstheme="majorBidi"/>
      <w:b/>
      <w:color w:val="000000" w:themeColor="text1"/>
      <w:sz w:val="28"/>
      <w:szCs w:val="26"/>
      <w:lang w:eastAsia="ja-JP"/>
    </w:rPr>
  </w:style>
  <w:style w:type="character" w:customStyle="1" w:styleId="Otsikko3Char">
    <w:name w:val="Otsikko 3 Char"/>
    <w:basedOn w:val="Kappaleenoletusfontti"/>
    <w:link w:val="Otsikko3"/>
    <w:uiPriority w:val="9"/>
    <w:rsid w:val="003A3859"/>
    <w:rPr>
      <w:rFonts w:asciiTheme="majorHAnsi" w:eastAsiaTheme="minorEastAsia" w:hAnsiTheme="majorHAnsi" w:cstheme="minorHAnsi"/>
      <w:b/>
      <w:bCs/>
      <w:sz w:val="24"/>
      <w:szCs w:val="27"/>
      <w:lang w:eastAsia="fi-FI"/>
    </w:rPr>
  </w:style>
  <w:style w:type="paragraph" w:styleId="Luettelokappale">
    <w:name w:val="List Paragraph"/>
    <w:basedOn w:val="Normaali"/>
    <w:uiPriority w:val="34"/>
    <w:qFormat/>
    <w:rsid w:val="003A3859"/>
    <w:pPr>
      <w:numPr>
        <w:numId w:val="1"/>
      </w:numPr>
      <w:ind w:left="1588" w:hanging="284"/>
      <w:contextualSpacing/>
    </w:pPr>
  </w:style>
  <w:style w:type="paragraph" w:customStyle="1" w:styleId="Vastaanottaja">
    <w:name w:val="Vastaanottaja"/>
    <w:basedOn w:val="Normaali"/>
    <w:qFormat/>
    <w:rsid w:val="003A3859"/>
    <w:pPr>
      <w:tabs>
        <w:tab w:val="right" w:pos="10199"/>
      </w:tabs>
      <w:spacing w:after="0" w:line="288" w:lineRule="auto"/>
    </w:pPr>
  </w:style>
  <w:style w:type="paragraph" w:customStyle="1" w:styleId="Normaalisisennetty">
    <w:name w:val="Normaali sisennetty"/>
    <w:basedOn w:val="Normaali"/>
    <w:qFormat/>
    <w:rsid w:val="003A3859"/>
    <w:pPr>
      <w:ind w:left="1304"/>
    </w:pPr>
  </w:style>
  <w:style w:type="paragraph" w:styleId="Eivli">
    <w:name w:val="No Spacing"/>
    <w:uiPriority w:val="1"/>
    <w:qFormat/>
    <w:rsid w:val="003A3859"/>
    <w:pPr>
      <w:tabs>
        <w:tab w:val="left" w:pos="1304"/>
        <w:tab w:val="left" w:pos="2608"/>
        <w:tab w:val="left" w:pos="3912"/>
        <w:tab w:val="left" w:pos="5216"/>
        <w:tab w:val="left" w:pos="6521"/>
        <w:tab w:val="left" w:pos="7825"/>
        <w:tab w:val="left" w:pos="9129"/>
      </w:tabs>
      <w:spacing w:after="0" w:line="240" w:lineRule="auto"/>
    </w:pPr>
    <w:rPr>
      <w:rFonts w:eastAsiaTheme="minorEastAsia" w:cstheme="minorHAnsi"/>
      <w:sz w:val="24"/>
      <w:szCs w:val="20"/>
      <w:lang w:eastAsia="ja-JP"/>
    </w:rPr>
  </w:style>
  <w:style w:type="paragraph" w:styleId="Kommentinteksti">
    <w:name w:val="annotation text"/>
    <w:basedOn w:val="Normaali"/>
    <w:link w:val="KommentintekstiChar"/>
    <w:uiPriority w:val="99"/>
    <w:semiHidden/>
    <w:unhideWhenUsed/>
    <w:pPr>
      <w:spacing w:line="240" w:lineRule="auto"/>
    </w:pPr>
    <w:rPr>
      <w:sz w:val="20"/>
    </w:rPr>
  </w:style>
  <w:style w:type="character" w:customStyle="1" w:styleId="KommentintekstiChar">
    <w:name w:val="Kommentin teksti Char"/>
    <w:basedOn w:val="Kappaleenoletusfontti"/>
    <w:link w:val="Kommentinteksti"/>
    <w:uiPriority w:val="99"/>
    <w:semiHidden/>
    <w:rPr>
      <w:rFonts w:eastAsiaTheme="minorEastAsia" w:cstheme="minorHAnsi"/>
      <w:sz w:val="20"/>
      <w:szCs w:val="20"/>
      <w:lang w:eastAsia="ja-JP"/>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20Weckman\OneDrive%20-%20Heta%20ry\Asiakirjapohjat\Asiakirja_sivunumero_1-siv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Asiakirja_sivunumero_1-sivu</Template>
  <TotalTime>0</TotalTime>
  <Pages>3</Pages>
  <Words>632</Words>
  <Characters>5126</Characters>
  <Application>Microsoft Office Word</Application>
  <DocSecurity>0</DocSecurity>
  <Lines>42</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Weckman</dc:creator>
  <cp:keywords/>
  <dc:description/>
  <cp:lastModifiedBy>Elisa Weckman</cp:lastModifiedBy>
  <cp:revision>2</cp:revision>
  <dcterms:created xsi:type="dcterms:W3CDTF">2026-04-13T07:06:00Z</dcterms:created>
  <dcterms:modified xsi:type="dcterms:W3CDTF">2026-04-13T07:06:00Z</dcterms:modified>
</cp:coreProperties>
</file>