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2493" w14:textId="77777777" w:rsidR="00033AAB" w:rsidRDefault="00033AAB"/>
    <w:p w14:paraId="038FF10D" w14:textId="77777777" w:rsidR="003A3859" w:rsidRPr="003059E6" w:rsidRDefault="003A3859" w:rsidP="003A3859">
      <w:pPr>
        <w:pStyle w:val="Vastaanottaja"/>
      </w:pPr>
      <w:r w:rsidRPr="003059E6">
        <w:t>Heta – henkilökohtaisten avustajien työnantajien liitto ry</w:t>
      </w:r>
    </w:p>
    <w:p w14:paraId="441F2470" w14:textId="3FF30BF1" w:rsidR="003A3859" w:rsidRPr="003059E6" w:rsidRDefault="00251AD7" w:rsidP="003A3859">
      <w:pPr>
        <w:pStyle w:val="Vastaanottaja"/>
      </w:pPr>
      <w:r>
        <w:t>Lausunto</w:t>
      </w:r>
      <w:r w:rsidR="003A3859" w:rsidRPr="003059E6">
        <w:t xml:space="preserve"> </w:t>
      </w:r>
      <w:r w:rsidR="003A3859">
        <w:fldChar w:fldCharType="begin"/>
      </w:r>
      <w:r w:rsidR="003A3859">
        <w:instrText xml:space="preserve"> TIME  \@ "d.M.yyyy" </w:instrText>
      </w:r>
      <w:r w:rsidR="003A3859">
        <w:fldChar w:fldCharType="separate"/>
      </w:r>
      <w:r w:rsidR="00EC383B">
        <w:rPr>
          <w:noProof/>
        </w:rPr>
        <w:t>10.11.2025</w:t>
      </w:r>
      <w:r w:rsidR="003A3859">
        <w:fldChar w:fldCharType="end"/>
      </w:r>
    </w:p>
    <w:p w14:paraId="79C5B6AC" w14:textId="5A37FCAE" w:rsidR="003A3859" w:rsidRDefault="003A3859" w:rsidP="003A3859">
      <w:pPr>
        <w:pStyle w:val="Vastaanottaja"/>
      </w:pPr>
      <w:r w:rsidRPr="003059E6">
        <w:t xml:space="preserve">Jakelu: </w:t>
      </w:r>
      <w:r w:rsidR="00251AD7">
        <w:t>Eduskunnan sosiaali- ja terveysvaliokunta</w:t>
      </w:r>
    </w:p>
    <w:p w14:paraId="71C72C2F" w14:textId="77777777" w:rsidR="00261BCF" w:rsidRDefault="00261BCF" w:rsidP="003A3859">
      <w:pPr>
        <w:pStyle w:val="Vastaanottaja"/>
      </w:pPr>
    </w:p>
    <w:p w14:paraId="20353CAA" w14:textId="759A1DD0" w:rsidR="00261BCF" w:rsidRPr="003059E6" w:rsidRDefault="00261BCF" w:rsidP="003A3859">
      <w:pPr>
        <w:pStyle w:val="Vastaanottaja"/>
      </w:pPr>
    </w:p>
    <w:p w14:paraId="30FDEA75" w14:textId="41F636D8" w:rsidR="003A3859" w:rsidRPr="003059E6" w:rsidRDefault="00251AD7" w:rsidP="003A3859">
      <w:pPr>
        <w:pStyle w:val="Otsikko1"/>
      </w:pPr>
      <w:r w:rsidRPr="00251AD7">
        <w:t>Hallituksen esitys eduskunnalle laiksi vammaispalvelulain 2 §:n muuttamisesta</w:t>
      </w:r>
      <w:r>
        <w:t xml:space="preserve"> (</w:t>
      </w:r>
      <w:r w:rsidRPr="00251AD7">
        <w:t>HE 92/2025 vp</w:t>
      </w:r>
      <w:r>
        <w:t>)</w:t>
      </w:r>
    </w:p>
    <w:p w14:paraId="51A0F111" w14:textId="753A5937" w:rsidR="00FE7D95" w:rsidRDefault="00FE7D95" w:rsidP="00FE7D95">
      <w:pPr>
        <w:pStyle w:val="Normaalisisennetty"/>
        <w:ind w:left="0"/>
        <w:rPr>
          <w:rFonts w:eastAsia="Arial"/>
        </w:rPr>
      </w:pPr>
    </w:p>
    <w:p w14:paraId="2999D354" w14:textId="676B9473" w:rsidR="00FE7D95" w:rsidRDefault="00FE7D95" w:rsidP="00FE7D95">
      <w:pPr>
        <w:pStyle w:val="Normaalisisennetty"/>
        <w:rPr>
          <w:rFonts w:eastAsia="Arial"/>
        </w:rPr>
      </w:pPr>
      <w:r w:rsidRPr="00220613">
        <w:rPr>
          <w:rFonts w:ascii="Calibri" w:hAnsi="Calibri" w:cs="Calibri"/>
        </w:rPr>
        <w:t xml:space="preserve">Heta-liitto </w:t>
      </w:r>
      <w:r w:rsidR="008837ED">
        <w:rPr>
          <w:rFonts w:ascii="Calibri" w:hAnsi="Calibri" w:cs="Calibri"/>
        </w:rPr>
        <w:t>kiittää</w:t>
      </w:r>
      <w:r w:rsidR="0020759A">
        <w:rPr>
          <w:rFonts w:ascii="Calibri" w:hAnsi="Calibri" w:cs="Calibri"/>
        </w:rPr>
        <w:t xml:space="preserve"> eduskunnan</w:t>
      </w:r>
      <w:r w:rsidR="008837ED">
        <w:rPr>
          <w:rFonts w:ascii="Calibri" w:hAnsi="Calibri" w:cs="Calibri"/>
        </w:rPr>
        <w:t xml:space="preserve"> sosiaali- ja terveysvaliokuntaa mahdollisuudesta lausu</w:t>
      </w:r>
      <w:r w:rsidR="003A62CC">
        <w:rPr>
          <w:rFonts w:ascii="Calibri" w:hAnsi="Calibri" w:cs="Calibri"/>
        </w:rPr>
        <w:t>nnon antamiseen</w:t>
      </w:r>
      <w:r w:rsidR="008837ED">
        <w:rPr>
          <w:rFonts w:ascii="Calibri" w:hAnsi="Calibri" w:cs="Calibri"/>
        </w:rPr>
        <w:t>. Katsomme, että k</w:t>
      </w:r>
      <w:r w:rsidRPr="00220613">
        <w:rPr>
          <w:rFonts w:ascii="Calibri" w:hAnsi="Calibri" w:cs="Calibri"/>
        </w:rPr>
        <w:t>ysymys vammaisuuden ja ikääntymisen eroista vaatii selvitystä ja mahdollisuuksien mukaan täsmenny</w:t>
      </w:r>
      <w:r w:rsidR="00A30946">
        <w:rPr>
          <w:rFonts w:ascii="Calibri" w:hAnsi="Calibri" w:cs="Calibri"/>
        </w:rPr>
        <w:t>ksiä</w:t>
      </w:r>
      <w:r w:rsidRPr="00220613">
        <w:rPr>
          <w:rFonts w:ascii="Calibri" w:hAnsi="Calibri" w:cs="Calibri"/>
        </w:rPr>
        <w:t xml:space="preserve"> nykyiseen lakiin.</w:t>
      </w:r>
      <w:r>
        <w:rPr>
          <w:rFonts w:ascii="Calibri" w:hAnsi="Calibri" w:cs="Calibri"/>
        </w:rPr>
        <w:t xml:space="preserve"> YK:n vammaisten oikeuksien komitean yksiselitteisen kannanoton ja muiden ongelmien vuoksi </w:t>
      </w:r>
      <w:r w:rsidR="003A62CC">
        <w:rPr>
          <w:rFonts w:ascii="Calibri" w:hAnsi="Calibri" w:cs="Calibri"/>
        </w:rPr>
        <w:t xml:space="preserve">nyt </w:t>
      </w:r>
      <w:r>
        <w:rPr>
          <w:rFonts w:ascii="Calibri" w:hAnsi="Calibri" w:cs="Calibri"/>
        </w:rPr>
        <w:t xml:space="preserve">ehdotettua sääntelyä ei </w:t>
      </w:r>
      <w:r w:rsidR="007E0E4F">
        <w:rPr>
          <w:rFonts w:ascii="Calibri" w:hAnsi="Calibri" w:cs="Calibri"/>
        </w:rPr>
        <w:t xml:space="preserve">ole </w:t>
      </w:r>
      <w:r w:rsidR="008837ED">
        <w:rPr>
          <w:rFonts w:ascii="Calibri" w:hAnsi="Calibri" w:cs="Calibri"/>
        </w:rPr>
        <w:t xml:space="preserve">kuitenkaan </w:t>
      </w:r>
      <w:r w:rsidR="007E0E4F">
        <w:rPr>
          <w:rFonts w:ascii="Calibri" w:hAnsi="Calibri" w:cs="Calibri"/>
        </w:rPr>
        <w:t>mahdollista</w:t>
      </w:r>
      <w:r>
        <w:rPr>
          <w:rFonts w:ascii="Calibri" w:hAnsi="Calibri" w:cs="Calibri"/>
        </w:rPr>
        <w:t xml:space="preserve"> hyväksyä.</w:t>
      </w:r>
    </w:p>
    <w:p w14:paraId="481A0760" w14:textId="77777777" w:rsidR="00FE7D95" w:rsidRDefault="00FE7D95" w:rsidP="00C05A7D">
      <w:pPr>
        <w:pStyle w:val="Otsikko2"/>
        <w:rPr>
          <w:rFonts w:eastAsia="Arial"/>
        </w:rPr>
      </w:pPr>
    </w:p>
    <w:p w14:paraId="128A40A6" w14:textId="3024EBA4" w:rsidR="009970FC" w:rsidRPr="00B93F59" w:rsidRDefault="00C44807" w:rsidP="00C05A7D">
      <w:pPr>
        <w:pStyle w:val="Otsikko2"/>
        <w:numPr>
          <w:ilvl w:val="0"/>
          <w:numId w:val="3"/>
        </w:numPr>
        <w:rPr>
          <w:rFonts w:eastAsia="Arial"/>
          <w:bCs/>
        </w:rPr>
      </w:pPr>
      <w:r w:rsidRPr="00B93F59">
        <w:rPr>
          <w:rFonts w:eastAsia="Arial"/>
          <w:bCs/>
        </w:rPr>
        <w:t xml:space="preserve">YK:n vammaisoikeuskomitean kannanottoa ei ole </w:t>
      </w:r>
      <w:r w:rsidR="007E0E4F">
        <w:rPr>
          <w:rFonts w:eastAsia="Arial"/>
          <w:bCs/>
        </w:rPr>
        <w:t>huomioitu</w:t>
      </w:r>
    </w:p>
    <w:p w14:paraId="777AEBC5" w14:textId="3C64C14F" w:rsidR="00C44807" w:rsidRDefault="00A30946" w:rsidP="00A057DB">
      <w:pPr>
        <w:pStyle w:val="Normaalisisennetty"/>
        <w:rPr>
          <w:rFonts w:eastAsia="Arial"/>
        </w:rPr>
      </w:pPr>
      <w:r>
        <w:rPr>
          <w:rFonts w:eastAsia="Arial"/>
        </w:rPr>
        <w:t>YK:n v</w:t>
      </w:r>
      <w:r w:rsidR="007503E9" w:rsidRPr="007503E9">
        <w:rPr>
          <w:rFonts w:eastAsia="Arial"/>
        </w:rPr>
        <w:t>ammaisten oikeuksien komitea on katsonut, että elämänvaiheisiin liittyvien avun ja tuen tarpeiden erottelu vammaispalvelulain mukaisista palveluista olisi syrjivä iän perusteella ja ristiriidassa sopimuksen 1 artiklan kanssa</w:t>
      </w:r>
      <w:r w:rsidR="00084633">
        <w:rPr>
          <w:rFonts w:eastAsia="Arial"/>
        </w:rPr>
        <w:t xml:space="preserve"> (huomio 8 (d), s. 2</w:t>
      </w:r>
      <w:r w:rsidR="44D7E944">
        <w:t>–</w:t>
      </w:r>
      <w:r w:rsidR="00084633">
        <w:rPr>
          <w:rFonts w:eastAsia="Arial"/>
        </w:rPr>
        <w:t>3)</w:t>
      </w:r>
      <w:r w:rsidR="007503E9" w:rsidRPr="007503E9">
        <w:rPr>
          <w:rFonts w:eastAsia="Arial"/>
        </w:rPr>
        <w:t>.</w:t>
      </w:r>
      <w:r w:rsidR="00454BA0" w:rsidRPr="00454BA0">
        <w:rPr>
          <w:rFonts w:eastAsia="Arial"/>
        </w:rPr>
        <w:t xml:space="preserve"> Komitea </w:t>
      </w:r>
      <w:r w:rsidR="00454BA0">
        <w:rPr>
          <w:rFonts w:eastAsia="Arial"/>
        </w:rPr>
        <w:t xml:space="preserve">yksiselitteisesti </w:t>
      </w:r>
      <w:r w:rsidR="00454BA0" w:rsidRPr="00454BA0">
        <w:rPr>
          <w:rFonts w:eastAsia="Arial"/>
        </w:rPr>
        <w:t>suosittelee myös pidättäytymään ottamasta käyttöön "elämänvaihe" -kriteerejä vammaispalvelulaissa</w:t>
      </w:r>
      <w:r w:rsidR="00E24327">
        <w:rPr>
          <w:rFonts w:eastAsia="Arial"/>
        </w:rPr>
        <w:t xml:space="preserve"> (suositus 9 (d) s. </w:t>
      </w:r>
      <w:r w:rsidR="00473B3A">
        <w:rPr>
          <w:rFonts w:eastAsia="Arial"/>
        </w:rPr>
        <w:t>3)</w:t>
      </w:r>
      <w:r w:rsidR="00454BA0" w:rsidRPr="00454BA0">
        <w:rPr>
          <w:rFonts w:eastAsia="Arial"/>
        </w:rPr>
        <w:t xml:space="preserve">. </w:t>
      </w:r>
      <w:r w:rsidR="006A06D8">
        <w:rPr>
          <w:rStyle w:val="Alaviitteenviite"/>
          <w:rFonts w:eastAsia="Arial"/>
        </w:rPr>
        <w:footnoteReference w:id="1"/>
      </w:r>
      <w:r w:rsidR="00454BA0" w:rsidRPr="00454BA0">
        <w:rPr>
          <w:rFonts w:eastAsia="Arial"/>
        </w:rPr>
        <w:t> </w:t>
      </w:r>
    </w:p>
    <w:p w14:paraId="719C9438" w14:textId="4EE331D4" w:rsidR="00CA02CF" w:rsidRDefault="009B7D38" w:rsidP="00AD2BC3">
      <w:pPr>
        <w:pStyle w:val="Normaalisisennetty"/>
      </w:pPr>
      <w:r>
        <w:t xml:space="preserve">Hallituksen esityksessä väitetään, että </w:t>
      </w:r>
      <w:r w:rsidR="00AC3B3E" w:rsidRPr="00AC3B3E">
        <w:t>YK:n vammaisten oikeuksien komitea on suositusta antaessaan arvioinut elämänvaiheita koskevan säännöksen merkitystä vammaisten ihmisten oikeuksiin irrallisena säännöksenä ilman, että se olisi ottanut huomioon Suomen lainsäädännön kokonaisuutta</w:t>
      </w:r>
      <w:r w:rsidR="00AC3B3E">
        <w:t>. Tämä ei pidä paikkaansa</w:t>
      </w:r>
      <w:r w:rsidR="000363FC">
        <w:t>, mikä</w:t>
      </w:r>
      <w:r w:rsidR="004260E6">
        <w:t xml:space="preserve"> </w:t>
      </w:r>
      <w:r w:rsidR="00AC3B3E">
        <w:t xml:space="preserve">käy ilmi sekä komitean </w:t>
      </w:r>
      <w:r w:rsidR="00300F88">
        <w:t xml:space="preserve">tallennetusta </w:t>
      </w:r>
      <w:r w:rsidR="00AC3B3E">
        <w:t xml:space="preserve">suullisesta kuulemisesta sekä esimerkiksi </w:t>
      </w:r>
      <w:r w:rsidR="00A057DB">
        <w:t xml:space="preserve">19 </w:t>
      </w:r>
      <w:r w:rsidR="00AC3B3E">
        <w:t>artikla</w:t>
      </w:r>
      <w:r w:rsidR="00A057DB">
        <w:t xml:space="preserve">a </w:t>
      </w:r>
      <w:r w:rsidR="00A057DB">
        <w:lastRenderedPageBreak/>
        <w:t>koskevista huomioista ja suosituksista</w:t>
      </w:r>
      <w:r w:rsidR="00A9372A">
        <w:t>.</w:t>
      </w:r>
      <w:r w:rsidR="00883514">
        <w:t xml:space="preserve"> </w:t>
      </w:r>
      <w:r w:rsidR="00A9372A">
        <w:t>Näissä</w:t>
      </w:r>
      <w:r w:rsidR="00883514">
        <w:t xml:space="preserve"> </w:t>
      </w:r>
      <w:r w:rsidR="00890A76">
        <w:t>komitea on esittänyt huolensa</w:t>
      </w:r>
      <w:r w:rsidR="00A9372A">
        <w:t xml:space="preserve"> </w:t>
      </w:r>
      <w:r w:rsidR="00890A76" w:rsidRPr="00890A76">
        <w:t>vammaispalvelulain ja sosiaalihuoltolain mukaisten palveluiden välisestä eriarvoisuudesta</w:t>
      </w:r>
      <w:r w:rsidR="005F0D41">
        <w:t xml:space="preserve"> (</w:t>
      </w:r>
      <w:r w:rsidR="00915108">
        <w:t>koh</w:t>
      </w:r>
      <w:r w:rsidR="00044F81">
        <w:t>ta</w:t>
      </w:r>
      <w:r w:rsidR="00915108">
        <w:t xml:space="preserve"> 36 (a) </w:t>
      </w:r>
      <w:r w:rsidR="002C5853">
        <w:t>s. 10)</w:t>
      </w:r>
      <w:r w:rsidR="00A057DB">
        <w:t>.</w:t>
      </w:r>
      <w:r w:rsidR="00CA02CF" w:rsidRPr="00CA02CF">
        <w:t> Komitea suosittelee, että valtio kehittää vammaisten ihmisten palveluita ilman ikärajoituksia ja varmistaa oikeudenmukaisuuden eri hyvinvointialueilla ja vammaispalvelulain ja sosiaalihuoltolain mukaisia palveluja saavien vammaisten henkilöiden välillä</w:t>
      </w:r>
      <w:r w:rsidR="004507ED">
        <w:t xml:space="preserve"> (kohta 37 (b) s. 10)</w:t>
      </w:r>
      <w:r w:rsidR="00CA02CF">
        <w:t>.</w:t>
      </w:r>
      <w:r w:rsidR="00AD2BC3">
        <w:t xml:space="preserve"> </w:t>
      </w:r>
    </w:p>
    <w:p w14:paraId="2ABB8994" w14:textId="5E065F49" w:rsidR="00C44807" w:rsidRDefault="00C06F08" w:rsidP="00A057DB">
      <w:pPr>
        <w:pStyle w:val="Normaalisisennetty"/>
      </w:pPr>
      <w:r>
        <w:t xml:space="preserve">Komitea on siis ottanut huomioon esimerkiksi </w:t>
      </w:r>
      <w:r w:rsidR="00B5670E">
        <w:t>yleis</w:t>
      </w:r>
      <w:r w:rsidR="00924F97">
        <w:t xml:space="preserve">palvelujen saatavuuden ja </w:t>
      </w:r>
      <w:r>
        <w:t>sen, että Suomessa vammaispalvelulaki on tällä hetkellä toissijainen</w:t>
      </w:r>
      <w:r w:rsidR="00AD2BC3">
        <w:t>. Ei pidä paikkaansa, että komitea olisi antanut suosituksensa arvioimatta Suomen lainsäädännön</w:t>
      </w:r>
      <w:r w:rsidR="00AA6891">
        <w:t xml:space="preserve"> ja palvelujärjestelmän</w:t>
      </w:r>
      <w:r w:rsidR="00AD2BC3">
        <w:t xml:space="preserve"> kokonaisuutta.</w:t>
      </w:r>
      <w:r w:rsidR="00071304">
        <w:t xml:space="preserve"> Koska asiasta on</w:t>
      </w:r>
      <w:r w:rsidR="00043F00">
        <w:t xml:space="preserve"> vastikään saatu</w:t>
      </w:r>
      <w:r w:rsidR="00071304">
        <w:t xml:space="preserve"> yksiselitteinen </w:t>
      </w:r>
      <w:r w:rsidR="00043F00">
        <w:t>sopimusvalvontaelimen kannanotto, ei</w:t>
      </w:r>
      <w:r w:rsidR="00924F97">
        <w:t xml:space="preserve"> ehdotettu</w:t>
      </w:r>
      <w:r w:rsidR="00DF1C6E">
        <w:t>a</w:t>
      </w:r>
      <w:r w:rsidR="00924F97">
        <w:t xml:space="preserve"> elämänvaihemallia</w:t>
      </w:r>
      <w:r w:rsidR="00043F00">
        <w:t xml:space="preserve"> tule hyväksyä.</w:t>
      </w:r>
    </w:p>
    <w:p w14:paraId="2CA3C775" w14:textId="77777777" w:rsidR="00AE2007" w:rsidRDefault="00AE2007" w:rsidP="00C05A7D">
      <w:pPr>
        <w:pStyle w:val="Otsikko2"/>
        <w:rPr>
          <w:rFonts w:eastAsia="Arial"/>
        </w:rPr>
      </w:pPr>
    </w:p>
    <w:p w14:paraId="65CD6AAD" w14:textId="4D8A20DC" w:rsidR="00AE2007" w:rsidRPr="00C30704" w:rsidRDefault="00B93F59" w:rsidP="00C05A7D">
      <w:pPr>
        <w:pStyle w:val="Otsikko2"/>
        <w:numPr>
          <w:ilvl w:val="0"/>
          <w:numId w:val="3"/>
        </w:numPr>
        <w:rPr>
          <w:rFonts w:eastAsia="Arial"/>
          <w:bCs/>
        </w:rPr>
      </w:pPr>
      <w:r w:rsidRPr="00C30704">
        <w:rPr>
          <w:rFonts w:eastAsia="Arial"/>
          <w:bCs/>
        </w:rPr>
        <w:t>Sääntely o</w:t>
      </w:r>
      <w:r w:rsidR="00D6667F" w:rsidRPr="00C30704">
        <w:rPr>
          <w:rFonts w:eastAsia="Arial"/>
          <w:bCs/>
        </w:rPr>
        <w:t>n liian tulkin</w:t>
      </w:r>
      <w:r w:rsidR="000B185E">
        <w:rPr>
          <w:rFonts w:eastAsia="Arial"/>
          <w:bCs/>
        </w:rPr>
        <w:t>nanvaraista</w:t>
      </w:r>
    </w:p>
    <w:p w14:paraId="7DAA7E45" w14:textId="14956867" w:rsidR="006A25C4" w:rsidRDefault="00082D3B" w:rsidP="00B93F59">
      <w:pPr>
        <w:pStyle w:val="Normaalisisennetty"/>
        <w:rPr>
          <w:rFonts w:eastAsia="Arial"/>
        </w:rPr>
      </w:pPr>
      <w:r>
        <w:rPr>
          <w:rFonts w:eastAsia="Arial"/>
        </w:rPr>
        <w:t xml:space="preserve">Perustuslakivaliokunta </w:t>
      </w:r>
      <w:r w:rsidRPr="0001572F">
        <w:rPr>
          <w:rFonts w:eastAsia="Arial"/>
        </w:rPr>
        <w:t xml:space="preserve">(PeVL 44/2024 vp) </w:t>
      </w:r>
      <w:r>
        <w:rPr>
          <w:rFonts w:eastAsia="Arial"/>
        </w:rPr>
        <w:t xml:space="preserve">on </w:t>
      </w:r>
      <w:r w:rsidR="006A25C4">
        <w:rPr>
          <w:rFonts w:eastAsia="Arial"/>
        </w:rPr>
        <w:t>arvioinut</w:t>
      </w:r>
      <w:r>
        <w:rPr>
          <w:rFonts w:eastAsia="Arial"/>
        </w:rPr>
        <w:t xml:space="preserve"> elämänvaiheisiin kiinnittyvien arviointiperusteiden olevan hyväksyttäviä, vaikkakin lausunnon taustalla oli asiaan kielteisemmin suhtautuvia asiantuntijalausuntoja. Perustuslakivaliokunnan lausunnossa ei kuitenkaan linjattu, että elämänvaiheisiin perustuva sääntely olisi </w:t>
      </w:r>
      <w:r w:rsidR="004B2035">
        <w:rPr>
          <w:rFonts w:eastAsia="Arial"/>
        </w:rPr>
        <w:t xml:space="preserve">sellaisenaan </w:t>
      </w:r>
      <w:r>
        <w:rPr>
          <w:rFonts w:eastAsia="Arial"/>
        </w:rPr>
        <w:t xml:space="preserve">hyväksyttävä, vaan hyväksyttäviä olisivat elämänvaiheisiin kiinnittyvät arviointiperusteet. </w:t>
      </w:r>
    </w:p>
    <w:p w14:paraId="3792F60D" w14:textId="343EBA30" w:rsidR="005319DD" w:rsidRDefault="00082D3B" w:rsidP="00B93F59">
      <w:pPr>
        <w:pStyle w:val="Normaalisisennetty"/>
        <w:rPr>
          <w:rFonts w:eastAsia="Arial"/>
        </w:rPr>
      </w:pPr>
      <w:r>
        <w:rPr>
          <w:rFonts w:eastAsia="Arial"/>
        </w:rPr>
        <w:t>T</w:t>
      </w:r>
      <w:r w:rsidRPr="00457C8C">
        <w:rPr>
          <w:rFonts w:eastAsia="Arial"/>
        </w:rPr>
        <w:t>ästä laki</w:t>
      </w:r>
      <w:r w:rsidR="006A25C4">
        <w:rPr>
          <w:rFonts w:eastAsia="Arial"/>
        </w:rPr>
        <w:t>ehdotuksesta</w:t>
      </w:r>
      <w:r w:rsidRPr="00457C8C">
        <w:rPr>
          <w:rFonts w:eastAsia="Arial"/>
        </w:rPr>
        <w:t xml:space="preserve"> ei</w:t>
      </w:r>
      <w:r w:rsidR="00B5670E">
        <w:rPr>
          <w:rFonts w:eastAsia="Arial"/>
        </w:rPr>
        <w:t xml:space="preserve"> </w:t>
      </w:r>
      <w:r w:rsidRPr="00457C8C">
        <w:rPr>
          <w:rFonts w:eastAsia="Arial"/>
        </w:rPr>
        <w:t>ilmene, mitä nämä arviointiperusteet</w:t>
      </w:r>
      <w:r>
        <w:rPr>
          <w:rFonts w:eastAsia="Arial"/>
        </w:rPr>
        <w:t xml:space="preserve"> olisivat, vaan</w:t>
      </w:r>
      <w:r w:rsidR="000363FC">
        <w:rPr>
          <w:rFonts w:eastAsia="Arial"/>
        </w:rPr>
        <w:t xml:space="preserve"> ehdotuksessa on vain</w:t>
      </w:r>
      <w:r w:rsidR="00936574">
        <w:rPr>
          <w:rFonts w:eastAsia="Arial"/>
        </w:rPr>
        <w:t xml:space="preserve"> er</w:t>
      </w:r>
      <w:r w:rsidR="00625387">
        <w:rPr>
          <w:rFonts w:eastAsia="Arial"/>
        </w:rPr>
        <w:t>otettu</w:t>
      </w:r>
      <w:r>
        <w:rPr>
          <w:rFonts w:eastAsia="Arial"/>
        </w:rPr>
        <w:t xml:space="preserve"> eri elämänvaiheet. </w:t>
      </w:r>
      <w:r w:rsidR="002031C1">
        <w:rPr>
          <w:rFonts w:eastAsia="Arial"/>
        </w:rPr>
        <w:t>Säännökset eivät auttaisi sen tulkinnassa, m</w:t>
      </w:r>
      <w:r w:rsidR="007F59DC">
        <w:rPr>
          <w:rFonts w:eastAsia="Arial"/>
        </w:rPr>
        <w:t>iten ja millä kriteereillä arvioi</w:t>
      </w:r>
      <w:r w:rsidR="00E62EE7">
        <w:rPr>
          <w:rFonts w:eastAsia="Arial"/>
        </w:rPr>
        <w:t>taisiin</w:t>
      </w:r>
      <w:r w:rsidR="007F59DC">
        <w:rPr>
          <w:rFonts w:eastAsia="Arial"/>
        </w:rPr>
        <w:t xml:space="preserve"> </w:t>
      </w:r>
      <w:r w:rsidR="006A25C4">
        <w:rPr>
          <w:rFonts w:eastAsia="Arial"/>
        </w:rPr>
        <w:t xml:space="preserve">kussakin elämänvaiheessa </w:t>
      </w:r>
      <w:r w:rsidR="007F59DC">
        <w:rPr>
          <w:rFonts w:eastAsia="Arial"/>
        </w:rPr>
        <w:t>tavanomainen tarve ja siitä vamman tai sairauden vuoksi eroava tarve.</w:t>
      </w:r>
      <w:r w:rsidR="0022480C">
        <w:rPr>
          <w:rFonts w:eastAsia="Arial"/>
        </w:rPr>
        <w:t xml:space="preserve"> </w:t>
      </w:r>
      <w:r w:rsidR="00B5670E">
        <w:rPr>
          <w:rFonts w:eastAsia="Arial"/>
        </w:rPr>
        <w:t xml:space="preserve">Lain perustelujen </w:t>
      </w:r>
      <w:r w:rsidR="00E65A19">
        <w:rPr>
          <w:rFonts w:eastAsia="Arial"/>
        </w:rPr>
        <w:t>kuvaileviin teksteihin ei voi perustaa yksilön oikeu</w:t>
      </w:r>
      <w:r w:rsidR="00DF1C6E">
        <w:rPr>
          <w:rFonts w:eastAsia="Arial"/>
        </w:rPr>
        <w:t>tta</w:t>
      </w:r>
      <w:r w:rsidR="00E65A19">
        <w:rPr>
          <w:rFonts w:eastAsia="Arial"/>
        </w:rPr>
        <w:t xml:space="preserve"> palv</w:t>
      </w:r>
      <w:r w:rsidR="0077031D">
        <w:rPr>
          <w:rFonts w:eastAsia="Arial"/>
        </w:rPr>
        <w:t>eluun</w:t>
      </w:r>
      <w:r w:rsidR="00C86FC6">
        <w:rPr>
          <w:rFonts w:eastAsia="Arial"/>
        </w:rPr>
        <w:t xml:space="preserve"> tai palvelu</w:t>
      </w:r>
      <w:r w:rsidR="00DF1C6E">
        <w:rPr>
          <w:rFonts w:eastAsia="Arial"/>
        </w:rPr>
        <w:t>n</w:t>
      </w:r>
      <w:r w:rsidR="00C86FC6">
        <w:rPr>
          <w:rFonts w:eastAsia="Arial"/>
        </w:rPr>
        <w:t xml:space="preserve"> ulkopuolelle jäämistä.</w:t>
      </w:r>
      <w:r w:rsidR="00E65A19">
        <w:rPr>
          <w:rFonts w:eastAsia="Arial"/>
        </w:rPr>
        <w:t xml:space="preserve"> </w:t>
      </w:r>
    </w:p>
    <w:p w14:paraId="199AA83D" w14:textId="5435C21A" w:rsidR="00914F0D" w:rsidRDefault="0077031D" w:rsidP="00C345E5">
      <w:pPr>
        <w:pStyle w:val="Normaalisisennetty"/>
        <w:rPr>
          <w:rFonts w:eastAsia="Arial"/>
        </w:rPr>
      </w:pPr>
      <w:r>
        <w:rPr>
          <w:rFonts w:eastAsia="Arial"/>
        </w:rPr>
        <w:t>O</w:t>
      </w:r>
      <w:r w:rsidR="00082D3B">
        <w:rPr>
          <w:rFonts w:eastAsia="Arial"/>
        </w:rPr>
        <w:t>ikeuskansleri</w:t>
      </w:r>
      <w:r>
        <w:rPr>
          <w:rFonts w:eastAsia="Arial"/>
        </w:rPr>
        <w:t>n</w:t>
      </w:r>
      <w:r w:rsidR="00082D3B">
        <w:rPr>
          <w:rFonts w:eastAsia="Arial"/>
        </w:rPr>
        <w:t xml:space="preserve"> ennakkotarkastuksessa</w:t>
      </w:r>
      <w:r w:rsidR="00C878D5">
        <w:rPr>
          <w:rStyle w:val="Alaviitteenviite"/>
          <w:rFonts w:eastAsia="Arial"/>
        </w:rPr>
        <w:footnoteReference w:id="2"/>
      </w:r>
      <w:r w:rsidR="0054024D">
        <w:rPr>
          <w:rFonts w:eastAsia="Arial"/>
        </w:rPr>
        <w:t xml:space="preserve"> on katsottu, että ehdotuksesta eivät käy ilmi perustuslakivaliokunnan edellyttämät arviointiperusteet. L</w:t>
      </w:r>
      <w:r w:rsidR="007C7085">
        <w:rPr>
          <w:rFonts w:eastAsia="Arial"/>
        </w:rPr>
        <w:t>isäksi</w:t>
      </w:r>
      <w:r w:rsidR="009511D1">
        <w:rPr>
          <w:rFonts w:eastAsia="Arial"/>
        </w:rPr>
        <w:t xml:space="preserve"> oikeuskanslerin</w:t>
      </w:r>
      <w:r w:rsidR="007C7085">
        <w:rPr>
          <w:rFonts w:eastAsia="Arial"/>
        </w:rPr>
        <w:t xml:space="preserve"> </w:t>
      </w:r>
      <w:r w:rsidR="0054024D">
        <w:rPr>
          <w:rFonts w:eastAsia="Arial"/>
        </w:rPr>
        <w:lastRenderedPageBreak/>
        <w:t>tarkastusmuisti</w:t>
      </w:r>
      <w:r w:rsidR="00914F0D">
        <w:rPr>
          <w:rFonts w:eastAsia="Arial"/>
        </w:rPr>
        <w:t>o</w:t>
      </w:r>
      <w:r w:rsidR="0054024D">
        <w:rPr>
          <w:rFonts w:eastAsia="Arial"/>
        </w:rPr>
        <w:t xml:space="preserve">ssa on </w:t>
      </w:r>
      <w:r w:rsidR="005319DD">
        <w:rPr>
          <w:rFonts w:eastAsia="Arial"/>
        </w:rPr>
        <w:t xml:space="preserve">todettu, että säännös on edelleen </w:t>
      </w:r>
      <w:r w:rsidR="00106BCD">
        <w:rPr>
          <w:rFonts w:eastAsia="Arial"/>
        </w:rPr>
        <w:t>epätäsmällinen ja vaikeaselkoinen eikä sen soveltaminen tunnu selkeältä</w:t>
      </w:r>
      <w:r w:rsidR="005F01C1">
        <w:rPr>
          <w:rFonts w:eastAsia="Arial"/>
        </w:rPr>
        <w:t xml:space="preserve">. </w:t>
      </w:r>
      <w:r w:rsidR="0030280A">
        <w:rPr>
          <w:rFonts w:eastAsia="Arial"/>
        </w:rPr>
        <w:t>E</w:t>
      </w:r>
      <w:r w:rsidR="005F01C1">
        <w:rPr>
          <w:rFonts w:eastAsia="Arial"/>
        </w:rPr>
        <w:t>hdotukseen voi muistion mukaan kohdistaa samat valtiosääntöoikeudelliset huomautukset</w:t>
      </w:r>
      <w:r w:rsidR="00E515AA">
        <w:rPr>
          <w:rFonts w:eastAsia="Arial"/>
        </w:rPr>
        <w:t>, jotka eduskunnan perustuslakivaliokunta on esittänyt aiemmin.</w:t>
      </w:r>
      <w:r w:rsidR="00833649">
        <w:rPr>
          <w:rStyle w:val="Alaviitteenviite"/>
          <w:rFonts w:eastAsia="Arial"/>
        </w:rPr>
        <w:footnoteReference w:id="3"/>
      </w:r>
      <w:r w:rsidR="009D2C74">
        <w:rPr>
          <w:rFonts w:eastAsia="Arial"/>
        </w:rPr>
        <w:t xml:space="preserve"> </w:t>
      </w:r>
    </w:p>
    <w:p w14:paraId="263E472E" w14:textId="716499CE" w:rsidR="00923719" w:rsidRDefault="00843744" w:rsidP="00C345E5">
      <w:pPr>
        <w:pStyle w:val="Normaalisisennetty"/>
        <w:rPr>
          <w:rFonts w:eastAsia="Arial"/>
        </w:rPr>
      </w:pPr>
      <w:r>
        <w:rPr>
          <w:rFonts w:eastAsia="Arial"/>
        </w:rPr>
        <w:t xml:space="preserve">Ennakkotarkastuksen jälkeen </w:t>
      </w:r>
      <w:r w:rsidR="00857BF9">
        <w:rPr>
          <w:rFonts w:eastAsia="Arial"/>
        </w:rPr>
        <w:t xml:space="preserve">vain esityksen perusteluihin on sisällytetty uutta taustoittavaa tekstiä, mutta sääntelyn varsinainen sisältö ei ole muuttunut. </w:t>
      </w:r>
      <w:r w:rsidR="000262F2">
        <w:rPr>
          <w:rFonts w:eastAsia="Arial"/>
        </w:rPr>
        <w:t>Näin ollen j</w:t>
      </w:r>
      <w:r w:rsidR="00C345E5">
        <w:rPr>
          <w:rFonts w:eastAsia="Arial"/>
        </w:rPr>
        <w:t xml:space="preserve">äisi </w:t>
      </w:r>
      <w:r w:rsidR="009D3C1F">
        <w:rPr>
          <w:rFonts w:eastAsia="Arial"/>
        </w:rPr>
        <w:t xml:space="preserve">edelleen </w:t>
      </w:r>
      <w:r w:rsidR="0021265E">
        <w:rPr>
          <w:rFonts w:eastAsia="Arial"/>
        </w:rPr>
        <w:t>pitkälti l</w:t>
      </w:r>
      <w:r w:rsidR="00C345E5">
        <w:rPr>
          <w:rFonts w:eastAsia="Arial"/>
        </w:rPr>
        <w:t xml:space="preserve">ainsoveltajien </w:t>
      </w:r>
      <w:r w:rsidR="00A37CC3">
        <w:rPr>
          <w:rFonts w:eastAsia="Arial"/>
        </w:rPr>
        <w:t>käsitysten varaan</w:t>
      </w:r>
      <w:r w:rsidR="00914F0D">
        <w:rPr>
          <w:rFonts w:eastAsia="Arial"/>
        </w:rPr>
        <w:t xml:space="preserve"> esimerkiksi se</w:t>
      </w:r>
      <w:r w:rsidR="00C345E5">
        <w:rPr>
          <w:rFonts w:eastAsia="Arial"/>
        </w:rPr>
        <w:t xml:space="preserve">, mistä </w:t>
      </w:r>
      <w:r w:rsidR="00D87DCB">
        <w:rPr>
          <w:rFonts w:eastAsia="Arial"/>
        </w:rPr>
        <w:t>vanhuuden katsotaan alkavan</w:t>
      </w:r>
      <w:r w:rsidR="0030280A">
        <w:rPr>
          <w:rFonts w:eastAsia="Arial"/>
        </w:rPr>
        <w:t xml:space="preserve"> ja mi</w:t>
      </w:r>
      <w:r w:rsidR="0021265E">
        <w:rPr>
          <w:rFonts w:eastAsia="Arial"/>
        </w:rPr>
        <w:t xml:space="preserve">llä kriteereillä </w:t>
      </w:r>
      <w:r w:rsidR="009D3C1F">
        <w:rPr>
          <w:rFonts w:eastAsia="Arial"/>
        </w:rPr>
        <w:t>määritellään</w:t>
      </w:r>
      <w:r w:rsidR="0021265E">
        <w:rPr>
          <w:rFonts w:eastAsia="Arial"/>
        </w:rPr>
        <w:t xml:space="preserve"> vanhuuteen liittyvä tavanomainen avun ja tuen tarve. </w:t>
      </w:r>
    </w:p>
    <w:p w14:paraId="4EB2E833" w14:textId="69C7B8AE" w:rsidR="002858E0" w:rsidRDefault="00A97D3E" w:rsidP="004D5645">
      <w:pPr>
        <w:pStyle w:val="Normaalisisennetty"/>
      </w:pPr>
      <w:r>
        <w:t>E</w:t>
      </w:r>
      <w:r w:rsidR="0096398F">
        <w:t>sityksessä</w:t>
      </w:r>
      <w:r>
        <w:t xml:space="preserve"> on</w:t>
      </w:r>
      <w:r w:rsidR="009D2C74">
        <w:t xml:space="preserve"> vedo</w:t>
      </w:r>
      <w:r>
        <w:t>ttu</w:t>
      </w:r>
      <w:r w:rsidR="009D2C74">
        <w:t xml:space="preserve"> </w:t>
      </w:r>
      <w:r w:rsidR="0096398F">
        <w:t>siihen, että e</w:t>
      </w:r>
      <w:r w:rsidR="0096398F" w:rsidRPr="0096398F">
        <w:t xml:space="preserve">lämänvaiheita koskeva säännös on luonteeltaan sellainen, ettei siihen ole mahdollista kirjoittaa tyhjentävästi kaikkea lainvalintaan vaikuttavia seikkoja. </w:t>
      </w:r>
      <w:r w:rsidR="00B86C02">
        <w:t>L</w:t>
      </w:r>
      <w:r w:rsidR="00300B1F">
        <w:t>ain soveltamisala on</w:t>
      </w:r>
      <w:r w:rsidR="00A872D7">
        <w:t xml:space="preserve"> kuitenkin</w:t>
      </w:r>
      <w:r w:rsidR="00300B1F">
        <w:t xml:space="preserve"> keskeinen kysymys, sillä se voi sellaisenaan olla peruste</w:t>
      </w:r>
      <w:r w:rsidR="00471918">
        <w:t xml:space="preserve"> olla myöntämättä vammaispalvelulain palveluja. </w:t>
      </w:r>
      <w:r w:rsidR="0014798C">
        <w:t>P</w:t>
      </w:r>
      <w:r w:rsidR="00AD517C">
        <w:t>alvelujen saantia rajaamaan suunnitellun</w:t>
      </w:r>
      <w:r w:rsidR="009A6E5D">
        <w:t>, liian tulkinnanvaraiseksi jäävän</w:t>
      </w:r>
      <w:r w:rsidR="00AD517C">
        <w:t xml:space="preserve"> </w:t>
      </w:r>
      <w:r w:rsidR="005B6F6E">
        <w:t>lainsäädännön esittämistä ei voi perustell</w:t>
      </w:r>
      <w:r w:rsidR="00DD623D">
        <w:t>a</w:t>
      </w:r>
      <w:r w:rsidR="001517CF">
        <w:t xml:space="preserve"> sillä</w:t>
      </w:r>
      <w:r w:rsidR="00F5258B">
        <w:t>,</w:t>
      </w:r>
      <w:r w:rsidR="00B11F77">
        <w:t xml:space="preserve"> että se olisi väistämättä luonteeltaan</w:t>
      </w:r>
      <w:r w:rsidR="000363FC">
        <w:t xml:space="preserve"> </w:t>
      </w:r>
      <w:r w:rsidR="001D129D">
        <w:t>epäselvää</w:t>
      </w:r>
      <w:r w:rsidR="00936574">
        <w:t>.</w:t>
      </w:r>
    </w:p>
    <w:p w14:paraId="3931DAE4" w14:textId="1948F28D" w:rsidR="00780494" w:rsidRDefault="00D75977" w:rsidP="00D75977">
      <w:pPr>
        <w:pStyle w:val="Normaalisisennetty"/>
      </w:pPr>
      <w:r>
        <w:t xml:space="preserve">Nyt ehdotettua sääntelyä tulee tarkastella perus- ja ihmisoikeuksien heikennyskiellon kannalta ja tässä yhteydessä lain täsmällisyydellä on erityistä merkitystä. Esimerkiksi heikennyksen oikeasuhtaisuutta on mahdotonta arvioida ehdotuksen täsmentymättömyyden vuoksi. </w:t>
      </w:r>
      <w:r w:rsidR="00DB67B5">
        <w:t xml:space="preserve">Henkilökohtaisen avun on katsottu turvaavan perustuslain 19 § 1 momentissa taattua oikeutta välttämättömään huolenpitoon. Nyt ehdotettu lakimuutos on </w:t>
      </w:r>
      <w:r w:rsidR="00EE4051">
        <w:t xml:space="preserve">henkilökohtaisen avun osalta </w:t>
      </w:r>
      <w:r w:rsidR="00DB67B5">
        <w:t xml:space="preserve">heikennys sekä vanhaan vammaispalvelulakiin että uuteen vammaispalvelulakiin nähden. </w:t>
      </w:r>
      <w:r w:rsidR="004D0BAC">
        <w:t>Vuoden 2022 lakiesityksessä arvioitiin, että osalle</w:t>
      </w:r>
      <w:r w:rsidR="008912B5">
        <w:t xml:space="preserve"> asiakkaista</w:t>
      </w:r>
      <w:r w:rsidR="004D0BAC">
        <w:t xml:space="preserve"> </w:t>
      </w:r>
      <w:r w:rsidR="00715207">
        <w:t xml:space="preserve">tuolloin ehdotettu </w:t>
      </w:r>
      <w:r w:rsidR="00EE4051">
        <w:t>ikääntymis</w:t>
      </w:r>
      <w:r w:rsidR="00715207">
        <w:t>rajaus olisi tuonut heikennyksiä (HE 191/2022 vp).</w:t>
      </w:r>
      <w:r w:rsidR="00D8153B">
        <w:t xml:space="preserve"> Vuoden 2024 lakiluonnosta mm. oikeuskansleri piti</w:t>
      </w:r>
      <w:r w:rsidR="00891215">
        <w:t xml:space="preserve"> </w:t>
      </w:r>
      <w:r w:rsidR="00702B54">
        <w:t>soveltamisalan tiukentamiseen tähtäävänä lakina</w:t>
      </w:r>
      <w:r w:rsidR="001B0C75">
        <w:rPr>
          <w:rStyle w:val="Alaviitteenviite"/>
        </w:rPr>
        <w:footnoteReference w:id="4"/>
      </w:r>
      <w:r w:rsidR="00702B54">
        <w:t xml:space="preserve">. </w:t>
      </w:r>
    </w:p>
    <w:p w14:paraId="62CE078E" w14:textId="2ADF2311" w:rsidR="0022480C" w:rsidRDefault="0022480C" w:rsidP="00B93F59">
      <w:pPr>
        <w:pStyle w:val="Normaalisisennetty"/>
      </w:pPr>
      <w:r>
        <w:t>Esityksen perusteluina on vedottu sosiaali- ja terveysvaliokunnan aiemmin esittämään kantaan</w:t>
      </w:r>
      <w:r w:rsidR="00AE4213">
        <w:t xml:space="preserve"> elämänvaiheen huomioimisesta. V</w:t>
      </w:r>
      <w:r w:rsidR="0049521E" w:rsidRPr="0049521E">
        <w:t>aikka nimenomainen elämänvaihetta koskeva 2 §:n 3 momentti poistettiin</w:t>
      </w:r>
      <w:r w:rsidR="00EE4051">
        <w:t xml:space="preserve"> eduskuntakäsittelyn aikana</w:t>
      </w:r>
      <w:r w:rsidR="0049521E" w:rsidRPr="0049521E">
        <w:t xml:space="preserve"> </w:t>
      </w:r>
      <w:r w:rsidR="0049521E" w:rsidRPr="0049521E">
        <w:lastRenderedPageBreak/>
        <w:t>soveltamisalapykälästä, asiakkaan palvelutarpeen arviointia ja asiakassuunnitelmaa tehtäessä tul</w:t>
      </w:r>
      <w:r w:rsidR="00AE4213">
        <w:t>i valiokunnan mukaan</w:t>
      </w:r>
      <w:r w:rsidR="0049521E" w:rsidRPr="0049521E">
        <w:t xml:space="preserve"> ottaa huomioon henkilön elämänvaihe ja elämäntilanne</w:t>
      </w:r>
      <w:r w:rsidR="00650F04">
        <w:t xml:space="preserve"> </w:t>
      </w:r>
      <w:r w:rsidR="00650F04" w:rsidRPr="00650F04">
        <w:t>(StVM 28/2024 vp)</w:t>
      </w:r>
      <w:r w:rsidR="0049521E" w:rsidRPr="0049521E">
        <w:t>. </w:t>
      </w:r>
    </w:p>
    <w:p w14:paraId="0A25006F" w14:textId="31CD6B67" w:rsidR="00A21BF1" w:rsidRDefault="0022480C" w:rsidP="00A21BF1">
      <w:pPr>
        <w:pStyle w:val="Normaalisisennetty"/>
      </w:pPr>
      <w:r>
        <w:t>On</w:t>
      </w:r>
      <w:r w:rsidR="00A21BF1">
        <w:t xml:space="preserve"> kuitenkin eri asia ottaa henkilön elämänvaihe tai elämäntilanne yleisesti huomioon palvelusuunnittelussa, kuin säätää laki, jossa se olisi määritelty palvelujen hylkäysperusteeks</w:t>
      </w:r>
      <w:r w:rsidR="00A33125">
        <w:t>i</w:t>
      </w:r>
      <w:r w:rsidR="00261BCF">
        <w:t xml:space="preserve"> ja ehdottomaksi rajaksi vammaispalvelujen saamiselle. </w:t>
      </w:r>
      <w:r w:rsidR="009D57F6">
        <w:t>Tässäkin suhteessa muutos olisi merkittävä.</w:t>
      </w:r>
      <w:r w:rsidR="007709EE">
        <w:t xml:space="preserve"> Heta-liitto katsoo, että esitystä ei tästäkään syystä voi hyväksyä.</w:t>
      </w:r>
    </w:p>
    <w:p w14:paraId="1D794A56" w14:textId="77777777" w:rsidR="005D38A6" w:rsidRDefault="005D38A6" w:rsidP="00C05A7D">
      <w:pPr>
        <w:pStyle w:val="Otsikko2"/>
      </w:pPr>
    </w:p>
    <w:p w14:paraId="273E6961" w14:textId="0EAE1680" w:rsidR="005D38A6" w:rsidRPr="005D38A6" w:rsidRDefault="005D38A6" w:rsidP="00C05A7D">
      <w:pPr>
        <w:pStyle w:val="Otsikko2"/>
        <w:numPr>
          <w:ilvl w:val="0"/>
          <w:numId w:val="3"/>
        </w:numPr>
        <w:rPr>
          <w:bCs/>
        </w:rPr>
      </w:pPr>
      <w:r w:rsidRPr="005D38A6">
        <w:rPr>
          <w:bCs/>
        </w:rPr>
        <w:t xml:space="preserve">Ehdotus </w:t>
      </w:r>
      <w:r w:rsidR="00AB2C2E">
        <w:rPr>
          <w:bCs/>
        </w:rPr>
        <w:t xml:space="preserve">on </w:t>
      </w:r>
      <w:r w:rsidRPr="005D38A6">
        <w:rPr>
          <w:bCs/>
        </w:rPr>
        <w:t>valmisteltu huomio</w:t>
      </w:r>
      <w:r w:rsidR="00126EB7">
        <w:rPr>
          <w:bCs/>
        </w:rPr>
        <w:t>i</w:t>
      </w:r>
      <w:r w:rsidRPr="005D38A6">
        <w:rPr>
          <w:bCs/>
        </w:rPr>
        <w:t xml:space="preserve">matta vammaispalvelulain soveltamisen </w:t>
      </w:r>
      <w:r w:rsidR="00AB2C2E">
        <w:rPr>
          <w:bCs/>
        </w:rPr>
        <w:t xml:space="preserve">todellista </w:t>
      </w:r>
      <w:r w:rsidRPr="005D38A6">
        <w:rPr>
          <w:bCs/>
        </w:rPr>
        <w:t>tilannetta</w:t>
      </w:r>
    </w:p>
    <w:p w14:paraId="53E3D32E" w14:textId="41990D1E" w:rsidR="00A01260" w:rsidRDefault="00BA1B24" w:rsidP="000B6FF1">
      <w:pPr>
        <w:pStyle w:val="Normaalisisennetty"/>
      </w:pPr>
      <w:r>
        <w:t xml:space="preserve">Ehdotuksen valmistelussa ei ole riittävästi huomioitu vuonna 2024 jo tehtyä soveltamisalan </w:t>
      </w:r>
      <w:r w:rsidR="00D80EBD">
        <w:t>muutosta</w:t>
      </w:r>
      <w:r>
        <w:t xml:space="preserve"> ja toimintaympäristön konkreettista tilannetta.</w:t>
      </w:r>
      <w:r w:rsidR="00D80EBD">
        <w:t xml:space="preserve"> Vuoden 2024 lakimuutokset on</w:t>
      </w:r>
      <w:r w:rsidR="00DB0D67">
        <w:t xml:space="preserve"> hyvinvointi</w:t>
      </w:r>
      <w:r w:rsidR="00D80EBD">
        <w:t>alueilla tulkittu kehotukseksi tiukentaa vammaispalvelujen myöntämistä.</w:t>
      </w:r>
      <w:r w:rsidR="00B7168B">
        <w:t xml:space="preserve"> Vammaispalveluiden piiriin pääsemiseksi on jo nykyise</w:t>
      </w:r>
      <w:r w:rsidR="00CB076D">
        <w:t>ssä sääntelyssä tiukat kriteerit</w:t>
      </w:r>
      <w:r w:rsidR="00936574">
        <w:t xml:space="preserve">. </w:t>
      </w:r>
      <w:r w:rsidR="00CB076D">
        <w:t>R</w:t>
      </w:r>
      <w:r w:rsidR="00EB555F">
        <w:t>iski</w:t>
      </w:r>
      <w:r w:rsidR="009462B4">
        <w:t>nä</w:t>
      </w:r>
      <w:r w:rsidR="00EB555F">
        <w:t xml:space="preserve"> on vammaispalvelujen saannin perusteeton tiukentuminen ja vammaisten ihmisten </w:t>
      </w:r>
      <w:r w:rsidR="006329A1">
        <w:t>pakottaminen maksullisten sosiaalihuoltolain mukaisten palvelujen piiriin.</w:t>
      </w:r>
      <w:r w:rsidR="009A6E5D">
        <w:t xml:space="preserve"> </w:t>
      </w:r>
      <w:r w:rsidR="00CB076D">
        <w:t>Nämä palvelut eivät</w:t>
      </w:r>
      <w:r w:rsidR="00B02DAC">
        <w:t xml:space="preserve"> vastaa avun tarpeisiin ja YK:n vammaissopimuksen ja vammaispalvelulain tavoitteisiin.</w:t>
      </w:r>
    </w:p>
    <w:p w14:paraId="6C0C38C7" w14:textId="6EEBC96B" w:rsidR="00241E5C" w:rsidRDefault="00653B4F" w:rsidP="00653B4F">
      <w:pPr>
        <w:pStyle w:val="Normaalisisennetty"/>
      </w:pPr>
      <w:r w:rsidRPr="00653B4F">
        <w:t>Vammaisfoorumin</w:t>
      </w:r>
      <w:r w:rsidR="00942863">
        <w:t xml:space="preserve"> toteuttaman kyselyn mukaan</w:t>
      </w:r>
      <w:r w:rsidRPr="00653B4F">
        <w:t xml:space="preserve"> vammaispalveluissa työskentelevi</w:t>
      </w:r>
      <w:r w:rsidR="00942863">
        <w:t>stä ammattilaisista</w:t>
      </w:r>
      <w:r w:rsidRPr="00653B4F">
        <w:t xml:space="preserve"> 66 % oli sitä mieltä, että </w:t>
      </w:r>
      <w:r>
        <w:t>hyvinvointi</w:t>
      </w:r>
      <w:r w:rsidRPr="00653B4F">
        <w:t>alueell</w:t>
      </w:r>
      <w:r w:rsidR="00887DA2" w:rsidRPr="00653B4F">
        <w:t>a ei ole tällä hetkellä riittävästi resursseja asiakkaiden palveluiden tuottamiseen</w:t>
      </w:r>
      <w:r w:rsidR="00887DA2">
        <w:rPr>
          <w:rStyle w:val="Alaviitteenviite"/>
        </w:rPr>
        <w:footnoteReference w:id="5"/>
      </w:r>
      <w:r w:rsidR="00887DA2" w:rsidRPr="00653B4F">
        <w:t>.</w:t>
      </w:r>
      <w:r w:rsidR="00D240D4" w:rsidRPr="00D240D4">
        <w:rPr>
          <w:rFonts w:ascii="Source Sans Pro" w:hAnsi="Source Sans Pro"/>
          <w:color w:val="4A4A4A"/>
          <w:sz w:val="30"/>
          <w:szCs w:val="30"/>
          <w:shd w:val="clear" w:color="auto" w:fill="FFFFFF"/>
        </w:rPr>
        <w:t xml:space="preserve"> </w:t>
      </w:r>
      <w:r w:rsidR="00D240D4" w:rsidRPr="00D240D4">
        <w:t>Lähes puolet (48 %) ammattilaisista on ohjannut asiakkaita aiempaa voimakkaammin yleislakien mukaisiin palveluihin eli pois esimerkiksi henkilökohtaisen avun piiristä. Tämä vastaa vammaisjärjestöjen neuvonnassa saatuja kokemuksia.</w:t>
      </w:r>
    </w:p>
    <w:p w14:paraId="38BA3A0D" w14:textId="18BD3EF6" w:rsidR="00914F0D" w:rsidRPr="00914F0D" w:rsidRDefault="00294A3F" w:rsidP="00294A3F">
      <w:pPr>
        <w:pStyle w:val="Normaalisisennetty"/>
        <w:rPr>
          <w:rFonts w:eastAsia="Arial"/>
        </w:rPr>
      </w:pPr>
      <w:r>
        <w:rPr>
          <w:rFonts w:ascii="Calibri" w:hAnsi="Calibri" w:cs="Calibri"/>
        </w:rPr>
        <w:t xml:space="preserve">Ei ole realistista olettaa, että hyvinvointialueet kovin syvällisesti huomioisivat tässä yhteydessä vammaispalvelulain tarkoituksen. On todennäköistä, että varsinkin </w:t>
      </w:r>
      <w:r>
        <w:rPr>
          <w:rFonts w:ascii="Calibri" w:hAnsi="Calibri" w:cs="Calibri"/>
        </w:rPr>
        <w:lastRenderedPageBreak/>
        <w:t>ikääntyneiden tarpeet tultaisiin ymmärtämään kapeasti.</w:t>
      </w:r>
      <w:r>
        <w:rPr>
          <w:rFonts w:eastAsia="Arial"/>
        </w:rPr>
        <w:t xml:space="preserve"> </w:t>
      </w:r>
      <w:r w:rsidR="00914F0D">
        <w:rPr>
          <w:rFonts w:ascii="Calibri" w:hAnsi="Calibri" w:cs="Calibri"/>
        </w:rPr>
        <w:t xml:space="preserve">Elämänvaiheessa tavanomaisiin tarpeisiin keskittyminen hämärtää sitä, mihin vammaispalveluilla ylipäänsä pyritään. Tavoite ei ole vain tarpeisiin vastaaminen siinä mielessä, että turvattaisiin ns. eksistenssiminimi, vaan taustalla on laajempia sekä perustuslaista että YK:n vammaissopimuksesta juontuvia </w:t>
      </w:r>
      <w:r w:rsidR="00DD2755">
        <w:rPr>
          <w:rFonts w:ascii="Calibri" w:hAnsi="Calibri" w:cs="Calibri"/>
        </w:rPr>
        <w:t>velvoitteita</w:t>
      </w:r>
      <w:r w:rsidR="00E874FF">
        <w:rPr>
          <w:rFonts w:ascii="Calibri" w:hAnsi="Calibri" w:cs="Calibri"/>
        </w:rPr>
        <w:t>.</w:t>
      </w:r>
    </w:p>
    <w:p w14:paraId="282E5990" w14:textId="27991BB4" w:rsidR="00FA2FA2" w:rsidRPr="00653B4F" w:rsidRDefault="00D11BE6" w:rsidP="00653B4F">
      <w:pPr>
        <w:pStyle w:val="Normaalisisennetty"/>
      </w:pPr>
      <w:r>
        <w:t>Lakiehdotukse</w:t>
      </w:r>
      <w:r w:rsidR="0088087F">
        <w:t>n perusteluissa</w:t>
      </w:r>
      <w:r>
        <w:t xml:space="preserve"> ei anneta oikeaa kuvaa elämänvaiheen käsitteen käytöstä vanhan vammaispalvelulain aikana. </w:t>
      </w:r>
      <w:r w:rsidR="001D3CD2">
        <w:t xml:space="preserve">Ehdotuksessa tuodaan esiin, että elämänvaiheita olisi </w:t>
      </w:r>
      <w:r w:rsidR="000363FC">
        <w:t>vanhan vammaispalvelulain aikana</w:t>
      </w:r>
      <w:r w:rsidR="0058696D">
        <w:t xml:space="preserve"> </w:t>
      </w:r>
      <w:r w:rsidR="009E41FF">
        <w:t xml:space="preserve">käytetty arvioitaessa oikeutta palveluihin. </w:t>
      </w:r>
      <w:r w:rsidR="002066C8">
        <w:t>Ei</w:t>
      </w:r>
      <w:r w:rsidR="009E41FF">
        <w:t xml:space="preserve"> kuitenkaan</w:t>
      </w:r>
      <w:r w:rsidR="002066C8">
        <w:t xml:space="preserve"> </w:t>
      </w:r>
      <w:r w:rsidR="00FA2FA2">
        <w:t xml:space="preserve">pidä paikkaansa, että </w:t>
      </w:r>
      <w:r w:rsidR="002066C8">
        <w:t>esimerkiksi henkilökohtaise</w:t>
      </w:r>
      <w:r w:rsidR="00F44AB0">
        <w:t>ssa avussa</w:t>
      </w:r>
      <w:r w:rsidR="002066C8">
        <w:t xml:space="preserve"> </w:t>
      </w:r>
      <w:r w:rsidR="00FA2FA2">
        <w:t xml:space="preserve">elämänvaiheen </w:t>
      </w:r>
      <w:r w:rsidR="002207A5">
        <w:t xml:space="preserve">tai ikäkauden </w:t>
      </w:r>
      <w:r w:rsidR="00FA2FA2">
        <w:t>perusteella olisi arvioitu oikeutta palveluihin lukuun ottamatta pienten lasten avun tarpeen arviointia</w:t>
      </w:r>
      <w:r w:rsidR="00673197">
        <w:rPr>
          <w:rStyle w:val="Alaviitteenviite"/>
        </w:rPr>
        <w:footnoteReference w:id="6"/>
      </w:r>
      <w:r w:rsidR="0024613B">
        <w:t>.</w:t>
      </w:r>
      <w:r w:rsidR="0066253D">
        <w:t xml:space="preserve"> </w:t>
      </w:r>
      <w:r w:rsidR="002A0525">
        <w:t xml:space="preserve">Ehdotusta ei </w:t>
      </w:r>
      <w:r w:rsidR="00F44AB0">
        <w:t xml:space="preserve">siten </w:t>
      </w:r>
      <w:r w:rsidR="002A0525">
        <w:t>voi perustella väittämällä, ett</w:t>
      </w:r>
      <w:r w:rsidR="00347DA6">
        <w:t>ä</w:t>
      </w:r>
      <w:r w:rsidR="002A0525">
        <w:t xml:space="preserve"> se va</w:t>
      </w:r>
      <w:r w:rsidR="00347DA6">
        <w:t>in vahvistaisi jo noudatetun käytännön</w:t>
      </w:r>
      <w:r w:rsidR="002A0525">
        <w:t>.</w:t>
      </w:r>
    </w:p>
    <w:p w14:paraId="33BC5BEF" w14:textId="57A9C47F" w:rsidR="00241E5C" w:rsidRDefault="00C73671" w:rsidP="00241E5C">
      <w:pPr>
        <w:pStyle w:val="Normaalisisennetty"/>
        <w:rPr>
          <w:rFonts w:eastAsia="Arial"/>
        </w:rPr>
      </w:pPr>
      <w:r>
        <w:rPr>
          <w:rFonts w:eastAsia="Arial"/>
        </w:rPr>
        <w:t>H</w:t>
      </w:r>
      <w:r w:rsidR="00CB0AF9">
        <w:rPr>
          <w:rFonts w:eastAsia="Arial"/>
        </w:rPr>
        <w:t>yvinvointialueiden olisi</w:t>
      </w:r>
      <w:r>
        <w:rPr>
          <w:rFonts w:eastAsia="Arial"/>
        </w:rPr>
        <w:t xml:space="preserve"> elämänvaihesääntelyn perusteella</w:t>
      </w:r>
      <w:r w:rsidR="005D3094">
        <w:rPr>
          <w:rFonts w:eastAsia="Arial"/>
        </w:rPr>
        <w:t xml:space="preserve"> käytännössä</w:t>
      </w:r>
      <w:r w:rsidR="00D80EBD">
        <w:rPr>
          <w:rFonts w:eastAsia="Arial"/>
        </w:rPr>
        <w:t xml:space="preserve"> mahdollista</w:t>
      </w:r>
      <w:r w:rsidR="00CB0AF9">
        <w:rPr>
          <w:rFonts w:eastAsia="Arial"/>
        </w:rPr>
        <w:t xml:space="preserve"> </w:t>
      </w:r>
      <w:r w:rsidR="005D3094">
        <w:rPr>
          <w:rFonts w:eastAsia="Arial"/>
        </w:rPr>
        <w:t>ryhtyä tekemään</w:t>
      </w:r>
      <w:r w:rsidR="00241E5C">
        <w:rPr>
          <w:rFonts w:eastAsia="Arial"/>
        </w:rPr>
        <w:t xml:space="preserve"> päätöksiä</w:t>
      </w:r>
      <w:r w:rsidR="00871097">
        <w:rPr>
          <w:rFonts w:eastAsia="Arial"/>
        </w:rPr>
        <w:t xml:space="preserve"> siitä, </w:t>
      </w:r>
      <w:r w:rsidR="00241E5C">
        <w:rPr>
          <w:rFonts w:eastAsia="Arial"/>
        </w:rPr>
        <w:t>että tietyn ikäisen henkilön avun tarve on tavanomaista elämänvaiheeseen liittyvää tarvetta</w:t>
      </w:r>
      <w:r>
        <w:rPr>
          <w:rFonts w:eastAsia="Arial"/>
        </w:rPr>
        <w:t>,</w:t>
      </w:r>
      <w:r w:rsidR="005527E6">
        <w:rPr>
          <w:rFonts w:eastAsia="Arial"/>
        </w:rPr>
        <w:t xml:space="preserve"> sillä arviointi</w:t>
      </w:r>
      <w:r w:rsidR="00ED5000">
        <w:rPr>
          <w:rFonts w:eastAsia="Arial"/>
        </w:rPr>
        <w:t xml:space="preserve"> </w:t>
      </w:r>
      <w:r w:rsidR="005527E6">
        <w:rPr>
          <w:rFonts w:eastAsia="Arial"/>
        </w:rPr>
        <w:t>jää hyvin paljon lainsoveltajan harkitta</w:t>
      </w:r>
      <w:r w:rsidR="00ED5000">
        <w:rPr>
          <w:rFonts w:eastAsia="Arial"/>
        </w:rPr>
        <w:t>vaksi</w:t>
      </w:r>
      <w:r w:rsidR="00241E5C">
        <w:rPr>
          <w:rFonts w:eastAsia="Arial"/>
        </w:rPr>
        <w:t xml:space="preserve">. On myös mahdollista, että </w:t>
      </w:r>
      <w:r w:rsidR="00720059">
        <w:rPr>
          <w:rFonts w:eastAsia="Arial"/>
        </w:rPr>
        <w:t xml:space="preserve">aikuisuuden ja vanhuuden </w:t>
      </w:r>
      <w:r w:rsidR="00600EDA">
        <w:rPr>
          <w:rFonts w:eastAsia="Arial"/>
        </w:rPr>
        <w:t xml:space="preserve">tietty </w:t>
      </w:r>
      <w:r w:rsidR="00720059">
        <w:rPr>
          <w:rFonts w:eastAsia="Arial"/>
        </w:rPr>
        <w:t xml:space="preserve">ikäraja </w:t>
      </w:r>
      <w:r w:rsidR="00241E5C">
        <w:rPr>
          <w:rFonts w:eastAsia="Arial"/>
        </w:rPr>
        <w:t xml:space="preserve">muodostuisi oikeuskäytännön tai </w:t>
      </w:r>
      <w:r w:rsidR="009F1CE1">
        <w:rPr>
          <w:rFonts w:eastAsia="Arial"/>
        </w:rPr>
        <w:t xml:space="preserve">esimerkiksi </w:t>
      </w:r>
      <w:r w:rsidR="00241E5C">
        <w:rPr>
          <w:rFonts w:eastAsia="Arial"/>
        </w:rPr>
        <w:t>oikeuskäytännön väärintulkinnan kautta, ja ikäraj</w:t>
      </w:r>
      <w:r w:rsidR="00720059">
        <w:rPr>
          <w:rFonts w:eastAsia="Arial"/>
        </w:rPr>
        <w:t>aa</w:t>
      </w:r>
      <w:r w:rsidR="00241E5C">
        <w:rPr>
          <w:rFonts w:eastAsia="Arial"/>
        </w:rPr>
        <w:t xml:space="preserve"> alettaisiin yleisemmin soveltaa.</w:t>
      </w:r>
      <w:r w:rsidR="00C4518A">
        <w:rPr>
          <w:rFonts w:eastAsia="Arial"/>
        </w:rPr>
        <w:t xml:space="preserve"> YK:n vammais</w:t>
      </w:r>
      <w:r w:rsidR="00E74778">
        <w:rPr>
          <w:rFonts w:eastAsia="Arial"/>
        </w:rPr>
        <w:t>oikeus</w:t>
      </w:r>
      <w:r w:rsidR="00C4518A">
        <w:rPr>
          <w:rFonts w:eastAsia="Arial"/>
        </w:rPr>
        <w:t>komitean tulkint</w:t>
      </w:r>
      <w:r w:rsidR="001B1269">
        <w:rPr>
          <w:rFonts w:eastAsia="Arial"/>
        </w:rPr>
        <w:t>a</w:t>
      </w:r>
      <w:r w:rsidR="004B414B">
        <w:rPr>
          <w:rFonts w:eastAsia="Arial"/>
        </w:rPr>
        <w:t xml:space="preserve"> säännöksen syrjivistä vaikutuksista</w:t>
      </w:r>
      <w:r w:rsidR="00C4518A">
        <w:rPr>
          <w:rFonts w:eastAsia="Arial"/>
        </w:rPr>
        <w:t xml:space="preserve"> on näin ollen oikea ja</w:t>
      </w:r>
      <w:r w:rsidR="002B3F7F">
        <w:rPr>
          <w:rFonts w:eastAsia="Arial"/>
        </w:rPr>
        <w:t xml:space="preserve"> vammaispalvelujen </w:t>
      </w:r>
      <w:r w:rsidR="00126EB7">
        <w:rPr>
          <w:rFonts w:eastAsia="Arial"/>
        </w:rPr>
        <w:t xml:space="preserve">tilanteen </w:t>
      </w:r>
      <w:r w:rsidR="002B3F7F">
        <w:rPr>
          <w:rFonts w:eastAsia="Arial"/>
        </w:rPr>
        <w:t>heikentyminen</w:t>
      </w:r>
      <w:r w:rsidR="00D80EBD">
        <w:rPr>
          <w:rFonts w:eastAsia="Arial"/>
        </w:rPr>
        <w:t xml:space="preserve"> todennäköisesti</w:t>
      </w:r>
      <w:r w:rsidR="00126EB7">
        <w:rPr>
          <w:rFonts w:eastAsia="Arial"/>
        </w:rPr>
        <w:t xml:space="preserve"> </w:t>
      </w:r>
      <w:r w:rsidR="002B3F7F">
        <w:rPr>
          <w:rFonts w:eastAsia="Arial"/>
        </w:rPr>
        <w:t>jatkuisi.</w:t>
      </w:r>
      <w:r w:rsidR="00707A0B">
        <w:rPr>
          <w:rFonts w:eastAsia="Arial"/>
        </w:rPr>
        <w:t xml:space="preserve"> Lakiehdotus tulee näillä perusteilla hylätä tai ottaa takaisin valmisteluun. </w:t>
      </w:r>
    </w:p>
    <w:p w14:paraId="30658BE8" w14:textId="77777777" w:rsidR="00C02EE1" w:rsidRDefault="00C02EE1" w:rsidP="00241E5C">
      <w:pPr>
        <w:pStyle w:val="Normaalisisennetty"/>
        <w:rPr>
          <w:rFonts w:eastAsia="Arial"/>
        </w:rPr>
      </w:pPr>
    </w:p>
    <w:p w14:paraId="677E535C" w14:textId="1ABF0167" w:rsidR="00656CFA" w:rsidRDefault="00C02EE1" w:rsidP="007709EE">
      <w:pPr>
        <w:pStyle w:val="Normaalisisennetty"/>
        <w:ind w:left="2608"/>
        <w:rPr>
          <w:rFonts w:eastAsia="Arial"/>
        </w:rPr>
      </w:pPr>
      <w:r>
        <w:rPr>
          <w:rFonts w:eastAsia="Arial"/>
        </w:rPr>
        <w:t>Maija Aatelo</w:t>
      </w:r>
      <w:r w:rsidR="007709EE">
        <w:rPr>
          <w:rFonts w:eastAsia="Arial"/>
        </w:rPr>
        <w:t>, p</w:t>
      </w:r>
      <w:r>
        <w:rPr>
          <w:rFonts w:eastAsia="Arial"/>
        </w:rPr>
        <w:t>uheenjohtaja</w:t>
      </w:r>
      <w:r w:rsidR="007709EE">
        <w:rPr>
          <w:rFonts w:eastAsia="Arial"/>
        </w:rPr>
        <w:t xml:space="preserve"> </w:t>
      </w:r>
    </w:p>
    <w:p w14:paraId="2E2CAA76" w14:textId="02943D60" w:rsidR="007709EE" w:rsidRDefault="00656CFA" w:rsidP="007709EE">
      <w:pPr>
        <w:pStyle w:val="Normaalisisennetty"/>
        <w:ind w:left="2608"/>
        <w:rPr>
          <w:rFonts w:eastAsia="Arial"/>
        </w:rPr>
      </w:pPr>
      <w:r>
        <w:rPr>
          <w:rFonts w:eastAsia="Arial"/>
        </w:rPr>
        <w:t>Asiantuntija</w:t>
      </w:r>
      <w:r w:rsidR="007709EE">
        <w:rPr>
          <w:rFonts w:eastAsia="Arial"/>
        </w:rPr>
        <w:t xml:space="preserve"> :</w:t>
      </w:r>
    </w:p>
    <w:p w14:paraId="4EF8455B" w14:textId="32FCFAC2" w:rsidR="00B55820" w:rsidRPr="0058696D" w:rsidRDefault="00656CFA" w:rsidP="007709EE">
      <w:pPr>
        <w:pStyle w:val="Normaalisisennetty"/>
        <w:ind w:left="2608"/>
        <w:rPr>
          <w:rFonts w:eastAsia="Arial"/>
        </w:rPr>
      </w:pPr>
      <w:r>
        <w:rPr>
          <w:rFonts w:eastAsia="Arial"/>
        </w:rPr>
        <w:t>Elisa Weckman</w:t>
      </w:r>
      <w:r w:rsidR="004319C0">
        <w:rPr>
          <w:rFonts w:eastAsia="Arial"/>
        </w:rPr>
        <w:t>, jurist</w:t>
      </w:r>
      <w:r w:rsidR="0058696D">
        <w:rPr>
          <w:rFonts w:eastAsia="Arial"/>
        </w:rPr>
        <w:t>i</w:t>
      </w:r>
    </w:p>
    <w:sectPr w:rsidR="00B55820" w:rsidRPr="0058696D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ECDD" w14:textId="77777777" w:rsidR="00845FD5" w:rsidRDefault="00845FD5" w:rsidP="00B55820">
      <w:pPr>
        <w:spacing w:after="0" w:line="240" w:lineRule="auto"/>
      </w:pPr>
      <w:r>
        <w:separator/>
      </w:r>
    </w:p>
  </w:endnote>
  <w:endnote w:type="continuationSeparator" w:id="0">
    <w:p w14:paraId="02CB4F02" w14:textId="77777777" w:rsidR="00845FD5" w:rsidRDefault="00845FD5" w:rsidP="00B5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9311" w14:textId="77777777" w:rsidR="00845FD5" w:rsidRDefault="00845FD5" w:rsidP="00B55820">
      <w:pPr>
        <w:spacing w:after="0" w:line="240" w:lineRule="auto"/>
      </w:pPr>
      <w:r>
        <w:separator/>
      </w:r>
    </w:p>
  </w:footnote>
  <w:footnote w:type="continuationSeparator" w:id="0">
    <w:p w14:paraId="1808AE37" w14:textId="77777777" w:rsidR="00845FD5" w:rsidRDefault="00845FD5" w:rsidP="00B55820">
      <w:pPr>
        <w:spacing w:after="0" w:line="240" w:lineRule="auto"/>
      </w:pPr>
      <w:r>
        <w:continuationSeparator/>
      </w:r>
    </w:p>
  </w:footnote>
  <w:footnote w:id="1">
    <w:p w14:paraId="29BAE1AE" w14:textId="4A683D2E" w:rsidR="006A06D8" w:rsidRPr="00833649" w:rsidRDefault="006A06D8">
      <w:pPr>
        <w:pStyle w:val="Alaviitteenteksti"/>
      </w:pPr>
      <w:r>
        <w:rPr>
          <w:rStyle w:val="Alaviitteenviite"/>
        </w:rPr>
        <w:footnoteRef/>
      </w:r>
      <w:r w:rsidRPr="006A06D8">
        <w:rPr>
          <w:lang w:val="en-GB"/>
        </w:rPr>
        <w:t xml:space="preserve"> </w:t>
      </w:r>
      <w:hyperlink r:id="rId1" w:history="1">
        <w:r w:rsidRPr="006E7800">
          <w:rPr>
            <w:rStyle w:val="Hyperlinkki"/>
            <w:lang w:val="en-GB"/>
          </w:rPr>
          <w:t>Committee on the Rights of Persons with Disabilities Concluding observations on the initial report of Finland.</w:t>
        </w:r>
        <w:r w:rsidR="00300F88" w:rsidRPr="006E7800">
          <w:rPr>
            <w:rStyle w:val="Hyperlinkki"/>
            <w:lang w:val="en-GB"/>
          </w:rPr>
          <w:t xml:space="preserve"> </w:t>
        </w:r>
        <w:r w:rsidR="00300F88" w:rsidRPr="006E7800">
          <w:rPr>
            <w:rStyle w:val="Hyperlinkki"/>
          </w:rPr>
          <w:t>CRPD/C/FIN/CO/1</w:t>
        </w:r>
      </w:hyperlink>
    </w:p>
  </w:footnote>
  <w:footnote w:id="2">
    <w:p w14:paraId="41903BED" w14:textId="77777777" w:rsidR="00C878D5" w:rsidRDefault="00C878D5" w:rsidP="00C878D5">
      <w:pPr>
        <w:pStyle w:val="Alaviitteenteksti"/>
      </w:pPr>
      <w:r>
        <w:rPr>
          <w:rStyle w:val="Alaviitteenviite"/>
        </w:rPr>
        <w:footnoteRef/>
      </w:r>
      <w:r>
        <w:t xml:space="preserve"> Ennakkotarkastusmuistio OKV/1407/23 /2025-OKV-7 s. 2</w:t>
      </w:r>
    </w:p>
    <w:p w14:paraId="2D64311E" w14:textId="5557BF13" w:rsidR="00C878D5" w:rsidRDefault="00C878D5">
      <w:pPr>
        <w:pStyle w:val="Alaviitteenteksti"/>
      </w:pPr>
    </w:p>
  </w:footnote>
  <w:footnote w:id="3">
    <w:p w14:paraId="56435C70" w14:textId="68C16A78" w:rsidR="00833649" w:rsidRDefault="00833649">
      <w:pPr>
        <w:pStyle w:val="Alaviitteenteksti"/>
      </w:pPr>
      <w:r>
        <w:rPr>
          <w:rStyle w:val="Alaviitteenviite"/>
        </w:rPr>
        <w:footnoteRef/>
      </w:r>
      <w:r>
        <w:t xml:space="preserve"> Ennakkotarkastusmuistio</w:t>
      </w:r>
      <w:r w:rsidR="00354882">
        <w:t xml:space="preserve"> OKV/1407/23 </w:t>
      </w:r>
      <w:r w:rsidR="0012798E">
        <w:t>/</w:t>
      </w:r>
      <w:r w:rsidR="00354882">
        <w:t>2025</w:t>
      </w:r>
      <w:r w:rsidR="0012798E">
        <w:t>-OKV-7</w:t>
      </w:r>
      <w:r w:rsidR="001E1635">
        <w:t xml:space="preserve"> s. 2</w:t>
      </w:r>
    </w:p>
  </w:footnote>
  <w:footnote w:id="4">
    <w:p w14:paraId="6728AC4E" w14:textId="08C5E641" w:rsidR="001B0C75" w:rsidRDefault="001B0C75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hyperlink r:id="rId2" w:history="1">
        <w:r w:rsidRPr="00A21EEC">
          <w:rPr>
            <w:rStyle w:val="Hyperlinkki"/>
          </w:rPr>
          <w:t>OKV/968/21/2024</w:t>
        </w:r>
      </w:hyperlink>
    </w:p>
  </w:footnote>
  <w:footnote w:id="5">
    <w:p w14:paraId="4B7C68B8" w14:textId="1B4A8E39" w:rsidR="00887DA2" w:rsidRDefault="00887DA2" w:rsidP="00887DA2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hyperlink r:id="rId3" w:history="1">
        <w:r w:rsidRPr="00BB4DF6">
          <w:rPr>
            <w:rStyle w:val="Hyperlinkki"/>
          </w:rPr>
          <w:t>Hyvinvointialueiden vammaispalveluiden ammattilaisten kokemuksia 1.1.2025 voimaan tulleen vammaispalvelulain soveltamisesta. Vammaisfoorumi 2025</w:t>
        </w:r>
      </w:hyperlink>
      <w:r>
        <w:t xml:space="preserve">. </w:t>
      </w:r>
      <w:r w:rsidR="00163937">
        <w:t>Kysely on toteutettu touko- ja kesäkuussa 2025</w:t>
      </w:r>
      <w:r w:rsidR="000363FC">
        <w:t>, jolloin uusia päätöksiä oli vielä vähän. Vahva trendi tiukennuksiin oli kuitenkin jo nähtävissä.</w:t>
      </w:r>
    </w:p>
  </w:footnote>
  <w:footnote w:id="6">
    <w:p w14:paraId="23DFE8F4" w14:textId="475F1808" w:rsidR="00673197" w:rsidRDefault="00673197">
      <w:pPr>
        <w:pStyle w:val="Alaviitteenteksti"/>
      </w:pPr>
      <w:r>
        <w:rPr>
          <w:rStyle w:val="Alaviitteenviite"/>
        </w:rPr>
        <w:footnoteRef/>
      </w:r>
      <w:r>
        <w:t xml:space="preserve"> Oikeuskäytäntöä tästä on esitelty</w:t>
      </w:r>
      <w:r w:rsidR="00956EBB">
        <w:t xml:space="preserve"> mm</w:t>
      </w:r>
      <w:r>
        <w:t xml:space="preserve"> THL:n Vammaispalvelujen käsikirjassa osiossa ”</w:t>
      </w:r>
      <w:hyperlink r:id="rId4" w:anchor="lapselle" w:history="1">
        <w:r w:rsidR="00956EBB" w:rsidRPr="00956EBB">
          <w:rPr>
            <w:rStyle w:val="Hyperlinkki"/>
          </w:rPr>
          <w:t>Henkilökohtaisen avun myöntäminen lapselle</w:t>
        </w:r>
      </w:hyperlink>
      <w:r w:rsidR="00956EBB"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6303" w14:textId="77777777" w:rsidR="00B55820" w:rsidRDefault="00B55820">
    <w:pPr>
      <w:pStyle w:val="Yltunniste"/>
    </w:pPr>
    <w:r>
      <w:rPr>
        <w:noProof/>
        <w:lang w:eastAsia="fi-FI"/>
      </w:rPr>
      <w:drawing>
        <wp:inline distT="0" distB="0" distL="0" distR="0" wp14:anchorId="5C35E777" wp14:editId="1AFDB4BF">
          <wp:extent cx="2520461" cy="586740"/>
          <wp:effectExtent l="0" t="0" r="0" b="3810"/>
          <wp:docPr id="1" name="Kuva 1" descr="Heta-lii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 descr="Heta-liito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0461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40A3"/>
    <w:multiLevelType w:val="hybridMultilevel"/>
    <w:tmpl w:val="44C6BD54"/>
    <w:lvl w:ilvl="0" w:tplc="F66A034E">
      <w:start w:val="1"/>
      <w:numFmt w:val="bullet"/>
      <w:pStyle w:val="Luettelokappale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49756332"/>
    <w:multiLevelType w:val="hybridMultilevel"/>
    <w:tmpl w:val="7E5E3D82"/>
    <w:lvl w:ilvl="0" w:tplc="00FC44D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5950102F"/>
    <w:multiLevelType w:val="hybridMultilevel"/>
    <w:tmpl w:val="7752F3D2"/>
    <w:lvl w:ilvl="0" w:tplc="D36EB2B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num w:numId="1" w16cid:durableId="2095008232">
    <w:abstractNumId w:val="0"/>
  </w:num>
  <w:num w:numId="2" w16cid:durableId="668993676">
    <w:abstractNumId w:val="1"/>
  </w:num>
  <w:num w:numId="3" w16cid:durableId="155080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64"/>
    <w:rsid w:val="00005B99"/>
    <w:rsid w:val="00006ABD"/>
    <w:rsid w:val="00010898"/>
    <w:rsid w:val="00013432"/>
    <w:rsid w:val="000262F2"/>
    <w:rsid w:val="00033AAB"/>
    <w:rsid w:val="0003591C"/>
    <w:rsid w:val="000363FC"/>
    <w:rsid w:val="000408BC"/>
    <w:rsid w:val="00043F00"/>
    <w:rsid w:val="00044F81"/>
    <w:rsid w:val="000511CF"/>
    <w:rsid w:val="00071304"/>
    <w:rsid w:val="000766F8"/>
    <w:rsid w:val="0007671E"/>
    <w:rsid w:val="00082D3B"/>
    <w:rsid w:val="00084633"/>
    <w:rsid w:val="000B185E"/>
    <w:rsid w:val="000B6FF1"/>
    <w:rsid w:val="000C7CF9"/>
    <w:rsid w:val="000D3C3E"/>
    <w:rsid w:val="00106BCD"/>
    <w:rsid w:val="00112661"/>
    <w:rsid w:val="00126EB7"/>
    <w:rsid w:val="0012798E"/>
    <w:rsid w:val="0014798C"/>
    <w:rsid w:val="001517CF"/>
    <w:rsid w:val="00163937"/>
    <w:rsid w:val="001805E7"/>
    <w:rsid w:val="00187133"/>
    <w:rsid w:val="001B0C75"/>
    <w:rsid w:val="001B1269"/>
    <w:rsid w:val="001D129D"/>
    <w:rsid w:val="001D3CD2"/>
    <w:rsid w:val="001E1635"/>
    <w:rsid w:val="002031C1"/>
    <w:rsid w:val="002066C8"/>
    <w:rsid w:val="0020759A"/>
    <w:rsid w:val="0021265E"/>
    <w:rsid w:val="002207A5"/>
    <w:rsid w:val="00222EC9"/>
    <w:rsid w:val="0022480C"/>
    <w:rsid w:val="00241E5C"/>
    <w:rsid w:val="0024613B"/>
    <w:rsid w:val="00251AD7"/>
    <w:rsid w:val="00251EE9"/>
    <w:rsid w:val="0025352C"/>
    <w:rsid w:val="00254AD0"/>
    <w:rsid w:val="00257733"/>
    <w:rsid w:val="00261BCF"/>
    <w:rsid w:val="00283AE3"/>
    <w:rsid w:val="002858E0"/>
    <w:rsid w:val="00294A3F"/>
    <w:rsid w:val="002A0525"/>
    <w:rsid w:val="002A6158"/>
    <w:rsid w:val="002B2089"/>
    <w:rsid w:val="002B3F7F"/>
    <w:rsid w:val="002C5853"/>
    <w:rsid w:val="002F78EB"/>
    <w:rsid w:val="00300B1F"/>
    <w:rsid w:val="00300F88"/>
    <w:rsid w:val="0030280A"/>
    <w:rsid w:val="00305E89"/>
    <w:rsid w:val="0031765A"/>
    <w:rsid w:val="0032785C"/>
    <w:rsid w:val="00327DE3"/>
    <w:rsid w:val="00334DA5"/>
    <w:rsid w:val="00335875"/>
    <w:rsid w:val="00347DA6"/>
    <w:rsid w:val="00354882"/>
    <w:rsid w:val="00363915"/>
    <w:rsid w:val="00366206"/>
    <w:rsid w:val="00375D7B"/>
    <w:rsid w:val="003837F9"/>
    <w:rsid w:val="00387B1F"/>
    <w:rsid w:val="003932B7"/>
    <w:rsid w:val="003A3859"/>
    <w:rsid w:val="003A62CC"/>
    <w:rsid w:val="003D1941"/>
    <w:rsid w:val="003E6FEB"/>
    <w:rsid w:val="003F17C1"/>
    <w:rsid w:val="003F61BF"/>
    <w:rsid w:val="0041186F"/>
    <w:rsid w:val="00413091"/>
    <w:rsid w:val="004260E6"/>
    <w:rsid w:val="004319C0"/>
    <w:rsid w:val="00433188"/>
    <w:rsid w:val="00442D93"/>
    <w:rsid w:val="00446C3E"/>
    <w:rsid w:val="004507ED"/>
    <w:rsid w:val="00454BA0"/>
    <w:rsid w:val="00457DC5"/>
    <w:rsid w:val="00471918"/>
    <w:rsid w:val="00473B3A"/>
    <w:rsid w:val="00477509"/>
    <w:rsid w:val="00477D42"/>
    <w:rsid w:val="00486AAF"/>
    <w:rsid w:val="0049521E"/>
    <w:rsid w:val="004B2035"/>
    <w:rsid w:val="004B414B"/>
    <w:rsid w:val="004D0BAC"/>
    <w:rsid w:val="004D5645"/>
    <w:rsid w:val="004E592B"/>
    <w:rsid w:val="005319DD"/>
    <w:rsid w:val="0054024D"/>
    <w:rsid w:val="00546D08"/>
    <w:rsid w:val="00547769"/>
    <w:rsid w:val="005527E6"/>
    <w:rsid w:val="00580621"/>
    <w:rsid w:val="0058696D"/>
    <w:rsid w:val="005B6F6E"/>
    <w:rsid w:val="005B7122"/>
    <w:rsid w:val="005D3094"/>
    <w:rsid w:val="005D38A6"/>
    <w:rsid w:val="005E0EE5"/>
    <w:rsid w:val="005F01C1"/>
    <w:rsid w:val="005F0D41"/>
    <w:rsid w:val="00600EDA"/>
    <w:rsid w:val="00625387"/>
    <w:rsid w:val="006329A1"/>
    <w:rsid w:val="0064671C"/>
    <w:rsid w:val="00650F04"/>
    <w:rsid w:val="00653B4F"/>
    <w:rsid w:val="00656CFA"/>
    <w:rsid w:val="0066253D"/>
    <w:rsid w:val="00673197"/>
    <w:rsid w:val="006742A0"/>
    <w:rsid w:val="00674C00"/>
    <w:rsid w:val="006847CD"/>
    <w:rsid w:val="00697AF1"/>
    <w:rsid w:val="006A06D8"/>
    <w:rsid w:val="006A25C4"/>
    <w:rsid w:val="006A517E"/>
    <w:rsid w:val="006D6E65"/>
    <w:rsid w:val="006E0F00"/>
    <w:rsid w:val="006E7800"/>
    <w:rsid w:val="00702B54"/>
    <w:rsid w:val="0070757B"/>
    <w:rsid w:val="00707A0B"/>
    <w:rsid w:val="00715207"/>
    <w:rsid w:val="00720059"/>
    <w:rsid w:val="00725F34"/>
    <w:rsid w:val="007265A8"/>
    <w:rsid w:val="00726851"/>
    <w:rsid w:val="007503E9"/>
    <w:rsid w:val="007571CE"/>
    <w:rsid w:val="0077031D"/>
    <w:rsid w:val="007709EE"/>
    <w:rsid w:val="00780494"/>
    <w:rsid w:val="007836A5"/>
    <w:rsid w:val="00790136"/>
    <w:rsid w:val="00792902"/>
    <w:rsid w:val="00795A56"/>
    <w:rsid w:val="007A297E"/>
    <w:rsid w:val="007A7C4D"/>
    <w:rsid w:val="007C2B30"/>
    <w:rsid w:val="007C59AF"/>
    <w:rsid w:val="007C7085"/>
    <w:rsid w:val="007D58AF"/>
    <w:rsid w:val="007E0E4F"/>
    <w:rsid w:val="007E2CBD"/>
    <w:rsid w:val="007F4E92"/>
    <w:rsid w:val="007F59DC"/>
    <w:rsid w:val="007F7859"/>
    <w:rsid w:val="00820C0E"/>
    <w:rsid w:val="0082680E"/>
    <w:rsid w:val="00833649"/>
    <w:rsid w:val="00837FCC"/>
    <w:rsid w:val="00843744"/>
    <w:rsid w:val="00845FD5"/>
    <w:rsid w:val="00857BF9"/>
    <w:rsid w:val="0086693A"/>
    <w:rsid w:val="00871097"/>
    <w:rsid w:val="0088087F"/>
    <w:rsid w:val="00883514"/>
    <w:rsid w:val="008837ED"/>
    <w:rsid w:val="00887DA2"/>
    <w:rsid w:val="00890A76"/>
    <w:rsid w:val="00891215"/>
    <w:rsid w:val="008912B5"/>
    <w:rsid w:val="008A01A5"/>
    <w:rsid w:val="008C1FBD"/>
    <w:rsid w:val="009109F4"/>
    <w:rsid w:val="00913FA6"/>
    <w:rsid w:val="00914F0D"/>
    <w:rsid w:val="00915108"/>
    <w:rsid w:val="00916915"/>
    <w:rsid w:val="00923719"/>
    <w:rsid w:val="009243BF"/>
    <w:rsid w:val="00924F97"/>
    <w:rsid w:val="0093220F"/>
    <w:rsid w:val="00936574"/>
    <w:rsid w:val="009420DC"/>
    <w:rsid w:val="00942863"/>
    <w:rsid w:val="009462B4"/>
    <w:rsid w:val="009511D1"/>
    <w:rsid w:val="00956EBB"/>
    <w:rsid w:val="0096398F"/>
    <w:rsid w:val="00982632"/>
    <w:rsid w:val="00986E92"/>
    <w:rsid w:val="009970FC"/>
    <w:rsid w:val="009A6E5D"/>
    <w:rsid w:val="009B237B"/>
    <w:rsid w:val="009B6AE2"/>
    <w:rsid w:val="009B7D38"/>
    <w:rsid w:val="009C1D14"/>
    <w:rsid w:val="009C7F00"/>
    <w:rsid w:val="009D2C74"/>
    <w:rsid w:val="009D3C1F"/>
    <w:rsid w:val="009D57F6"/>
    <w:rsid w:val="009E41FF"/>
    <w:rsid w:val="009F1CE1"/>
    <w:rsid w:val="009F6504"/>
    <w:rsid w:val="00A01260"/>
    <w:rsid w:val="00A057DB"/>
    <w:rsid w:val="00A21BF1"/>
    <w:rsid w:val="00A21EEC"/>
    <w:rsid w:val="00A30946"/>
    <w:rsid w:val="00A30B82"/>
    <w:rsid w:val="00A33125"/>
    <w:rsid w:val="00A37CC3"/>
    <w:rsid w:val="00A71558"/>
    <w:rsid w:val="00A872D7"/>
    <w:rsid w:val="00A9372A"/>
    <w:rsid w:val="00A97D3E"/>
    <w:rsid w:val="00AA6891"/>
    <w:rsid w:val="00AB2C2E"/>
    <w:rsid w:val="00AB4464"/>
    <w:rsid w:val="00AC1AA7"/>
    <w:rsid w:val="00AC3B3E"/>
    <w:rsid w:val="00AD009C"/>
    <w:rsid w:val="00AD2BC3"/>
    <w:rsid w:val="00AD517C"/>
    <w:rsid w:val="00AE2007"/>
    <w:rsid w:val="00AE4213"/>
    <w:rsid w:val="00B02DAC"/>
    <w:rsid w:val="00B11F77"/>
    <w:rsid w:val="00B46145"/>
    <w:rsid w:val="00B53268"/>
    <w:rsid w:val="00B55820"/>
    <w:rsid w:val="00B5670E"/>
    <w:rsid w:val="00B571BF"/>
    <w:rsid w:val="00B62A3C"/>
    <w:rsid w:val="00B63537"/>
    <w:rsid w:val="00B7168B"/>
    <w:rsid w:val="00B7310F"/>
    <w:rsid w:val="00B84DC6"/>
    <w:rsid w:val="00B86C02"/>
    <w:rsid w:val="00B903BF"/>
    <w:rsid w:val="00B93F59"/>
    <w:rsid w:val="00BA1B24"/>
    <w:rsid w:val="00BA410C"/>
    <w:rsid w:val="00BB107B"/>
    <w:rsid w:val="00BB4DF6"/>
    <w:rsid w:val="00BF2532"/>
    <w:rsid w:val="00C02EE1"/>
    <w:rsid w:val="00C05A7D"/>
    <w:rsid w:val="00C06F08"/>
    <w:rsid w:val="00C11E99"/>
    <w:rsid w:val="00C21B61"/>
    <w:rsid w:val="00C30704"/>
    <w:rsid w:val="00C345E5"/>
    <w:rsid w:val="00C44807"/>
    <w:rsid w:val="00C4518A"/>
    <w:rsid w:val="00C457DF"/>
    <w:rsid w:val="00C6272A"/>
    <w:rsid w:val="00C73671"/>
    <w:rsid w:val="00C86FC6"/>
    <w:rsid w:val="00C878D5"/>
    <w:rsid w:val="00C91CF5"/>
    <w:rsid w:val="00CA02CF"/>
    <w:rsid w:val="00CB076D"/>
    <w:rsid w:val="00CB0AF9"/>
    <w:rsid w:val="00CF193A"/>
    <w:rsid w:val="00CF2AC6"/>
    <w:rsid w:val="00D11BE6"/>
    <w:rsid w:val="00D240D4"/>
    <w:rsid w:val="00D32D35"/>
    <w:rsid w:val="00D629CF"/>
    <w:rsid w:val="00D6667F"/>
    <w:rsid w:val="00D743EE"/>
    <w:rsid w:val="00D75977"/>
    <w:rsid w:val="00D80EBD"/>
    <w:rsid w:val="00D8153B"/>
    <w:rsid w:val="00D82495"/>
    <w:rsid w:val="00D87DCB"/>
    <w:rsid w:val="00D931A5"/>
    <w:rsid w:val="00D96517"/>
    <w:rsid w:val="00DB0D67"/>
    <w:rsid w:val="00DB16E6"/>
    <w:rsid w:val="00DB67B5"/>
    <w:rsid w:val="00DC2A9B"/>
    <w:rsid w:val="00DC40D5"/>
    <w:rsid w:val="00DC6BBB"/>
    <w:rsid w:val="00DD2755"/>
    <w:rsid w:val="00DD623D"/>
    <w:rsid w:val="00DF1C6E"/>
    <w:rsid w:val="00E05424"/>
    <w:rsid w:val="00E11994"/>
    <w:rsid w:val="00E20E97"/>
    <w:rsid w:val="00E24327"/>
    <w:rsid w:val="00E515AA"/>
    <w:rsid w:val="00E62D56"/>
    <w:rsid w:val="00E62EE7"/>
    <w:rsid w:val="00E65A19"/>
    <w:rsid w:val="00E72D9A"/>
    <w:rsid w:val="00E73527"/>
    <w:rsid w:val="00E73DE1"/>
    <w:rsid w:val="00E74778"/>
    <w:rsid w:val="00E874FF"/>
    <w:rsid w:val="00EA1679"/>
    <w:rsid w:val="00EB555F"/>
    <w:rsid w:val="00EB6B26"/>
    <w:rsid w:val="00EC383B"/>
    <w:rsid w:val="00ED5000"/>
    <w:rsid w:val="00EE39BB"/>
    <w:rsid w:val="00EE4051"/>
    <w:rsid w:val="00EF06B1"/>
    <w:rsid w:val="00F00924"/>
    <w:rsid w:val="00F235A3"/>
    <w:rsid w:val="00F44AB0"/>
    <w:rsid w:val="00F5258B"/>
    <w:rsid w:val="00F66F5F"/>
    <w:rsid w:val="00F701A8"/>
    <w:rsid w:val="00F90DF2"/>
    <w:rsid w:val="00FA2FA2"/>
    <w:rsid w:val="00FB177D"/>
    <w:rsid w:val="00FD3159"/>
    <w:rsid w:val="00FE0FEE"/>
    <w:rsid w:val="00FE7D95"/>
    <w:rsid w:val="44D7E944"/>
    <w:rsid w:val="5126B926"/>
    <w:rsid w:val="55CDB186"/>
    <w:rsid w:val="5822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7D4C1"/>
  <w15:chartTrackingRefBased/>
  <w15:docId w15:val="{7BE934B7-A971-4A68-B88F-C4AF82F8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next w:val="Eivli"/>
    <w:qFormat/>
    <w:rsid w:val="003A385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360" w:lineRule="auto"/>
    </w:pPr>
    <w:rPr>
      <w:rFonts w:eastAsiaTheme="minorEastAsia" w:cstheme="minorHAnsi"/>
      <w:sz w:val="24"/>
      <w:szCs w:val="20"/>
      <w:lang w:eastAsia="ja-JP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A385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A38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tsikko3">
    <w:name w:val="heading 3"/>
    <w:basedOn w:val="Normaali"/>
    <w:link w:val="Otsikko3Char"/>
    <w:uiPriority w:val="9"/>
    <w:qFormat/>
    <w:rsid w:val="003A3859"/>
    <w:pPr>
      <w:spacing w:before="120" w:after="0"/>
      <w:outlineLvl w:val="2"/>
    </w:pPr>
    <w:rPr>
      <w:rFonts w:asciiTheme="majorHAnsi" w:hAnsiTheme="majorHAnsi"/>
      <w:b/>
      <w:bCs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55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55820"/>
  </w:style>
  <w:style w:type="paragraph" w:styleId="Alatunniste">
    <w:name w:val="footer"/>
    <w:basedOn w:val="Normaali"/>
    <w:link w:val="AlatunnisteChar"/>
    <w:uiPriority w:val="99"/>
    <w:unhideWhenUsed/>
    <w:rsid w:val="00B55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55820"/>
  </w:style>
  <w:style w:type="character" w:customStyle="1" w:styleId="Otsikko1Char">
    <w:name w:val="Otsikko 1 Char"/>
    <w:basedOn w:val="Kappaleenoletusfontti"/>
    <w:link w:val="Otsikko1"/>
    <w:uiPriority w:val="9"/>
    <w:rsid w:val="003A3859"/>
    <w:rPr>
      <w:rFonts w:eastAsiaTheme="majorEastAsia" w:cstheme="majorBidi"/>
      <w:b/>
      <w:bCs/>
      <w:color w:val="000000" w:themeColor="text1"/>
      <w:sz w:val="36"/>
      <w:szCs w:val="32"/>
      <w:lang w:eastAsia="ja-JP"/>
    </w:rPr>
  </w:style>
  <w:style w:type="character" w:customStyle="1" w:styleId="Otsikko2Char">
    <w:name w:val="Otsikko 2 Char"/>
    <w:basedOn w:val="Kappaleenoletusfontti"/>
    <w:link w:val="Otsikko2"/>
    <w:uiPriority w:val="9"/>
    <w:rsid w:val="003A3859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ja-JP"/>
    </w:rPr>
  </w:style>
  <w:style w:type="character" w:customStyle="1" w:styleId="Otsikko3Char">
    <w:name w:val="Otsikko 3 Char"/>
    <w:basedOn w:val="Kappaleenoletusfontti"/>
    <w:link w:val="Otsikko3"/>
    <w:uiPriority w:val="9"/>
    <w:rsid w:val="003A3859"/>
    <w:rPr>
      <w:rFonts w:asciiTheme="majorHAnsi" w:eastAsiaTheme="minorEastAsia" w:hAnsiTheme="majorHAnsi" w:cstheme="minorHAnsi"/>
      <w:b/>
      <w:bCs/>
      <w:sz w:val="24"/>
      <w:szCs w:val="27"/>
      <w:lang w:eastAsia="fi-FI"/>
    </w:rPr>
  </w:style>
  <w:style w:type="paragraph" w:styleId="Luettelokappale">
    <w:name w:val="List Paragraph"/>
    <w:basedOn w:val="Normaali"/>
    <w:uiPriority w:val="34"/>
    <w:qFormat/>
    <w:rsid w:val="003A3859"/>
    <w:pPr>
      <w:numPr>
        <w:numId w:val="1"/>
      </w:numPr>
      <w:ind w:left="1588" w:hanging="284"/>
      <w:contextualSpacing/>
    </w:pPr>
  </w:style>
  <w:style w:type="paragraph" w:customStyle="1" w:styleId="Vastaanottaja">
    <w:name w:val="Vastaanottaja"/>
    <w:basedOn w:val="Normaali"/>
    <w:qFormat/>
    <w:rsid w:val="003A3859"/>
    <w:pPr>
      <w:tabs>
        <w:tab w:val="right" w:pos="10199"/>
      </w:tabs>
      <w:spacing w:after="0" w:line="288" w:lineRule="auto"/>
    </w:pPr>
  </w:style>
  <w:style w:type="paragraph" w:customStyle="1" w:styleId="Normaalisisennetty">
    <w:name w:val="Normaali sisennetty"/>
    <w:basedOn w:val="Normaali"/>
    <w:qFormat/>
    <w:rsid w:val="003A3859"/>
    <w:pPr>
      <w:ind w:left="1304"/>
    </w:pPr>
  </w:style>
  <w:style w:type="paragraph" w:styleId="Eivli">
    <w:name w:val="No Spacing"/>
    <w:uiPriority w:val="1"/>
    <w:qFormat/>
    <w:rsid w:val="003A385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</w:pPr>
    <w:rPr>
      <w:rFonts w:eastAsiaTheme="minorEastAsia" w:cstheme="minorHAnsi"/>
      <w:sz w:val="24"/>
      <w:szCs w:val="20"/>
      <w:lang w:eastAsia="ja-JP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D009C"/>
    <w:pPr>
      <w:spacing w:after="0" w:line="240" w:lineRule="auto"/>
    </w:pPr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D009C"/>
    <w:rPr>
      <w:rFonts w:eastAsiaTheme="minorEastAsia" w:cstheme="minorHAnsi"/>
      <w:sz w:val="20"/>
      <w:szCs w:val="20"/>
      <w:lang w:eastAsia="ja-JP"/>
    </w:rPr>
  </w:style>
  <w:style w:type="character" w:styleId="Alaviitteenviite">
    <w:name w:val="footnote reference"/>
    <w:basedOn w:val="Kappaleenoletusfontti"/>
    <w:uiPriority w:val="99"/>
    <w:semiHidden/>
    <w:unhideWhenUsed/>
    <w:rsid w:val="00AD009C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956EB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6EBB"/>
    <w:rPr>
      <w:color w:val="605E5C"/>
      <w:shd w:val="clear" w:color="auto" w:fill="E1DFDD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1691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16915"/>
    <w:rPr>
      <w:rFonts w:eastAsiaTheme="minorEastAsia" w:cstheme="minorHAnsi"/>
      <w:sz w:val="20"/>
      <w:szCs w:val="20"/>
      <w:lang w:eastAsia="ja-JP"/>
    </w:rPr>
  </w:style>
  <w:style w:type="character" w:styleId="Kommentinviite">
    <w:name w:val="annotation reference"/>
    <w:basedOn w:val="Kappaleenoletusfontti"/>
    <w:uiPriority w:val="99"/>
    <w:semiHidden/>
    <w:unhideWhenUsed/>
    <w:rsid w:val="00916915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44F8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44F81"/>
    <w:rPr>
      <w:rFonts w:eastAsiaTheme="minorEastAsia" w:cstheme="minorHAnsi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ic1.squarespace.com/static/6877720082945418b03f50f0/t/68f21e43f345bc3296ceb12c/1760697923862/VF+raportti+ammattilaisten+kokemuksista+uuden+vammaispalvelulain+soveltamisesta+22.9.2025.pdf" TargetMode="External"/><Relationship Id="rId2" Type="http://schemas.openxmlformats.org/officeDocument/2006/relationships/hyperlink" Target="https://oikeuskansleri.fi/documents/1428954/196899331/julkaistu_lausunto_uuden_vammaispalvelulain_soveltamisalan_tarkentaminen_OKV_968_21_2024.pdf/1e3447b7-9eaf-baa0-b86c-5b09b9559072/julkaistu_lausunto_uuden_vammaispalvelulain_soveltamisalan_tarkentaminen_OKV_968_21_2024.pdf?t=1716972711405" TargetMode="External"/><Relationship Id="rId1" Type="http://schemas.openxmlformats.org/officeDocument/2006/relationships/hyperlink" Target="https://um.fi/documents/35732/0/CRPD_C_FIN_CO_1.pdf/3e5cc80e-43c9-8ceb-919e-8ae1c166d746?t=1756899134170" TargetMode="External"/><Relationship Id="rId4" Type="http://schemas.openxmlformats.org/officeDocument/2006/relationships/hyperlink" Target="https://thl.fi/julkaisut/kasikirjat/vammaispalvelujen-kasikirja/oikeuskaytanto/henkilokohtainen-apu/voimavarat-avun-tarpeen-maarittelyy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%20Weckman\OneDrive%20-%20Heta%20ry\Asiakirjapohjat\Asiakirja_sivunumero_1-siv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DD26-ACFA-4B76-8FE6-5CFADDEE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Asiakirja_sivunumero_1-sivu.dotx</Template>
  <TotalTime>1</TotalTime>
  <Pages>5</Pages>
  <Words>1007</Words>
  <Characters>8162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Links>
    <vt:vector size="24" baseType="variant">
      <vt:variant>
        <vt:i4>393295</vt:i4>
      </vt:variant>
      <vt:variant>
        <vt:i4>9</vt:i4>
      </vt:variant>
      <vt:variant>
        <vt:i4>0</vt:i4>
      </vt:variant>
      <vt:variant>
        <vt:i4>5</vt:i4>
      </vt:variant>
      <vt:variant>
        <vt:lpwstr>https://thl.fi/julkaisut/kasikirjat/vammaispalvelujen-kasikirja/oikeuskaytanto/henkilokohtainen-apu/voimavarat-avun-tarpeen-maarittelyyn</vt:lpwstr>
      </vt:variant>
      <vt:variant>
        <vt:lpwstr>lapselle</vt:lpwstr>
      </vt:variant>
      <vt:variant>
        <vt:i4>7274609</vt:i4>
      </vt:variant>
      <vt:variant>
        <vt:i4>6</vt:i4>
      </vt:variant>
      <vt:variant>
        <vt:i4>0</vt:i4>
      </vt:variant>
      <vt:variant>
        <vt:i4>5</vt:i4>
      </vt:variant>
      <vt:variant>
        <vt:lpwstr>https://static1.squarespace.com/static/6877720082945418b03f50f0/t/68f21e43f345bc3296ceb12c/1760697923862/VF+raportti+ammattilaisten+kokemuksista+uuden+vammaispalvelulain+soveltamisesta+22.9.2025.pdf</vt:lpwstr>
      </vt:variant>
      <vt:variant>
        <vt:lpwstr/>
      </vt:variant>
      <vt:variant>
        <vt:i4>5898306</vt:i4>
      </vt:variant>
      <vt:variant>
        <vt:i4>3</vt:i4>
      </vt:variant>
      <vt:variant>
        <vt:i4>0</vt:i4>
      </vt:variant>
      <vt:variant>
        <vt:i4>5</vt:i4>
      </vt:variant>
      <vt:variant>
        <vt:lpwstr>https://oikeuskansleri.fi/documents/1428954/196899331/julkaistu_lausunto_uuden_vammaispalvelulain_soveltamisalan_tarkentaminen_OKV_968_21_2024.pdf/1e3447b7-9eaf-baa0-b86c-5b09b9559072/julkaistu_lausunto_uuden_vammaispalvelulain_soveltamisalan_tarkentaminen_OKV_968_21_2024.pdf?t=1716972711405</vt:lpwstr>
      </vt:variant>
      <vt:variant>
        <vt:lpwstr/>
      </vt:variant>
      <vt:variant>
        <vt:i4>2818152</vt:i4>
      </vt:variant>
      <vt:variant>
        <vt:i4>0</vt:i4>
      </vt:variant>
      <vt:variant>
        <vt:i4>0</vt:i4>
      </vt:variant>
      <vt:variant>
        <vt:i4>5</vt:i4>
      </vt:variant>
      <vt:variant>
        <vt:lpwstr>https://um.fi/documents/35732/0/CRPD_C_FIN_CO_1.pdf/3e5cc80e-43c9-8ceb-919e-8ae1c166d746?t=1756899134170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Weckman</dc:creator>
  <cp:keywords/>
  <dc:description/>
  <cp:lastModifiedBy>Elisa Weckman</cp:lastModifiedBy>
  <cp:revision>3</cp:revision>
  <cp:lastPrinted>2025-11-10T06:18:00Z</cp:lastPrinted>
  <dcterms:created xsi:type="dcterms:W3CDTF">2025-11-10T06:17:00Z</dcterms:created>
  <dcterms:modified xsi:type="dcterms:W3CDTF">2025-11-10T06:18:00Z</dcterms:modified>
</cp:coreProperties>
</file>